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C357D3" w:rsidP="005610CB">
      <w:pPr>
        <w:spacing w:line="360" w:lineRule="auto"/>
        <w:jc w:val="both"/>
        <w:rPr>
          <w:rFonts w:ascii="Arial" w:hAnsi="Arial" w:cs="Arial"/>
          <w:b/>
          <w:sz w:val="20"/>
          <w:szCs w:val="20"/>
        </w:rPr>
      </w:pPr>
      <w:r>
        <w:rPr>
          <w:rFonts w:ascii="Arial" w:hAnsi="Arial" w:cs="Arial"/>
          <w:b/>
          <w:sz w:val="20"/>
          <w:szCs w:val="20"/>
        </w:rPr>
        <w:t>PVA</w:t>
      </w:r>
      <w:r w:rsidR="000E4CD5">
        <w:rPr>
          <w:rFonts w:ascii="Arial" w:hAnsi="Arial" w:cs="Arial"/>
          <w:b/>
          <w:sz w:val="20"/>
          <w:szCs w:val="20"/>
        </w:rPr>
        <w:t>:</w:t>
      </w:r>
      <w:r w:rsidR="00D651E1">
        <w:rPr>
          <w:rFonts w:ascii="Arial" w:hAnsi="Arial" w:cs="Arial"/>
          <w:b/>
          <w:sz w:val="20"/>
          <w:szCs w:val="20"/>
        </w:rPr>
        <w:t xml:space="preserve"> </w:t>
      </w:r>
      <w:r w:rsidR="00F77B4F">
        <w:rPr>
          <w:rFonts w:ascii="Arial" w:hAnsi="Arial" w:cs="Arial"/>
          <w:b/>
          <w:sz w:val="20"/>
          <w:szCs w:val="20"/>
        </w:rPr>
        <w:t>Annual General Mandate 2020</w:t>
      </w:r>
      <w:r w:rsidR="000D0CFB">
        <w:rPr>
          <w:rFonts w:ascii="Arial" w:hAnsi="Arial" w:cs="Arial"/>
          <w:b/>
          <w:sz w:val="20"/>
          <w:szCs w:val="20"/>
        </w:rPr>
        <w:t xml:space="preserve">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C357D3">
        <w:rPr>
          <w:rFonts w:ascii="Arial" w:hAnsi="Arial" w:cs="Arial"/>
          <w:sz w:val="20"/>
          <w:szCs w:val="20"/>
        </w:rPr>
        <w:t>22</w:t>
      </w:r>
      <w:r w:rsidR="00A050AA">
        <w:rPr>
          <w:rFonts w:ascii="Arial" w:hAnsi="Arial" w:cs="Arial"/>
          <w:sz w:val="20"/>
          <w:szCs w:val="20"/>
        </w:rPr>
        <w:t xml:space="preserve"> May</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C357D3" w:rsidRPr="00C357D3">
        <w:rPr>
          <w:rFonts w:ascii="Arial" w:hAnsi="Arial" w:cs="Arial"/>
          <w:sz w:val="20"/>
          <w:szCs w:val="20"/>
        </w:rPr>
        <w:t>PetroVietnam</w:t>
      </w:r>
      <w:proofErr w:type="spellEnd"/>
      <w:r w:rsidR="00C357D3" w:rsidRPr="00C357D3">
        <w:rPr>
          <w:rFonts w:ascii="Arial" w:hAnsi="Arial" w:cs="Arial"/>
          <w:sz w:val="20"/>
          <w:szCs w:val="20"/>
        </w:rPr>
        <w:t xml:space="preserve"> </w:t>
      </w:r>
      <w:proofErr w:type="spellStart"/>
      <w:r w:rsidR="00C357D3" w:rsidRPr="00C357D3">
        <w:rPr>
          <w:rFonts w:ascii="Arial" w:hAnsi="Arial" w:cs="Arial"/>
          <w:sz w:val="20"/>
          <w:szCs w:val="20"/>
        </w:rPr>
        <w:t>Nghe</w:t>
      </w:r>
      <w:proofErr w:type="spellEnd"/>
      <w:r w:rsidR="00C357D3" w:rsidRPr="00C357D3">
        <w:rPr>
          <w:rFonts w:ascii="Arial" w:hAnsi="Arial" w:cs="Arial"/>
          <w:sz w:val="20"/>
          <w:szCs w:val="20"/>
        </w:rPr>
        <w:t xml:space="preserve"> </w:t>
      </w:r>
      <w:proofErr w:type="gramStart"/>
      <w:r w:rsidR="00C357D3" w:rsidRPr="00C357D3">
        <w:rPr>
          <w:rFonts w:ascii="Arial" w:hAnsi="Arial" w:cs="Arial"/>
          <w:sz w:val="20"/>
          <w:szCs w:val="20"/>
        </w:rPr>
        <w:t>An</w:t>
      </w:r>
      <w:proofErr w:type="gramEnd"/>
      <w:r w:rsidR="00C357D3" w:rsidRPr="00C357D3">
        <w:rPr>
          <w:rFonts w:ascii="Arial" w:hAnsi="Arial" w:cs="Arial"/>
          <w:sz w:val="20"/>
          <w:szCs w:val="20"/>
        </w:rPr>
        <w:t xml:space="preserve"> Construction JSC</w:t>
      </w:r>
      <w:r w:rsidR="00C357D3">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F77B4F" w:rsidRPr="00F77B4F">
        <w:rPr>
          <w:rFonts w:ascii="Arial" w:hAnsi="Arial" w:cs="Arial"/>
          <w:sz w:val="20"/>
          <w:szCs w:val="20"/>
        </w:rPr>
        <w:t xml:space="preserve">Annual General Mandate 2020 </w:t>
      </w:r>
      <w:r w:rsidR="00D570D1">
        <w:rPr>
          <w:rFonts w:ascii="Arial" w:hAnsi="Arial" w:cs="Arial"/>
          <w:sz w:val="20"/>
          <w:szCs w:val="20"/>
        </w:rPr>
        <w:t>as follows:</w:t>
      </w:r>
    </w:p>
    <w:p w:rsidR="00C357D3" w:rsidRDefault="00C357D3" w:rsidP="00F86F51">
      <w:pPr>
        <w:spacing w:line="360" w:lineRule="auto"/>
        <w:jc w:val="both"/>
        <w:rPr>
          <w:rFonts w:ascii="Arial" w:hAnsi="Arial" w:cs="Arial"/>
          <w:sz w:val="20"/>
          <w:szCs w:val="20"/>
        </w:rPr>
      </w:pPr>
      <w:r>
        <w:rPr>
          <w:rFonts w:ascii="Arial" w:hAnsi="Arial" w:cs="Arial"/>
          <w:sz w:val="20"/>
          <w:szCs w:val="20"/>
        </w:rPr>
        <w:t>Article 1: Report on activities of the Board of Directors in 2019 and operation plan for 2020</w:t>
      </w:r>
    </w:p>
    <w:p w:rsidR="00C357D3" w:rsidRDefault="00C357D3" w:rsidP="00F86F51">
      <w:pPr>
        <w:spacing w:line="360" w:lineRule="auto"/>
        <w:jc w:val="both"/>
        <w:rPr>
          <w:rFonts w:ascii="Arial" w:hAnsi="Arial" w:cs="Arial"/>
          <w:sz w:val="20"/>
          <w:szCs w:val="20"/>
        </w:rPr>
      </w:pPr>
      <w:r>
        <w:rPr>
          <w:rFonts w:ascii="Arial" w:hAnsi="Arial" w:cs="Arial"/>
          <w:sz w:val="20"/>
          <w:szCs w:val="20"/>
        </w:rPr>
        <w:t>1.1 Realization of operation plan for 2019</w:t>
      </w:r>
    </w:p>
    <w:tbl>
      <w:tblPr>
        <w:tblStyle w:val="TableGrid"/>
        <w:tblW w:w="0" w:type="auto"/>
        <w:tblLook w:val="04A0" w:firstRow="1" w:lastRow="0" w:firstColumn="1" w:lastColumn="0" w:noHBand="0" w:noVBand="1"/>
      </w:tblPr>
      <w:tblGrid>
        <w:gridCol w:w="2394"/>
        <w:gridCol w:w="2394"/>
        <w:gridCol w:w="2394"/>
        <w:gridCol w:w="2394"/>
      </w:tblGrid>
      <w:tr w:rsidR="00C357D3" w:rsidTr="00C357D3">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Indicator</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Plan 2019 (VND billion)</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Realization 2019 (VND billion)</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Rate (%)</w:t>
            </w:r>
          </w:p>
        </w:tc>
      </w:tr>
      <w:tr w:rsidR="00C357D3" w:rsidTr="00C357D3">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Production</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20</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0</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0</w:t>
            </w:r>
          </w:p>
        </w:tc>
      </w:tr>
      <w:tr w:rsidR="00C357D3" w:rsidTr="00C357D3">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Total revenue</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30</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1.12</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3.73</w:t>
            </w:r>
          </w:p>
        </w:tc>
      </w:tr>
      <w:tr w:rsidR="00C357D3" w:rsidTr="00C357D3">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 xml:space="preserve">After-tax profit </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1.5</w:t>
            </w:r>
          </w:p>
        </w:tc>
        <w:tc>
          <w:tcPr>
            <w:tcW w:w="239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-1.32</w:t>
            </w:r>
          </w:p>
        </w:tc>
        <w:tc>
          <w:tcPr>
            <w:tcW w:w="2394" w:type="dxa"/>
          </w:tcPr>
          <w:p w:rsidR="00C357D3" w:rsidRDefault="00C357D3" w:rsidP="00F86F51">
            <w:pPr>
              <w:spacing w:line="360" w:lineRule="auto"/>
              <w:jc w:val="both"/>
              <w:rPr>
                <w:rFonts w:ascii="Arial" w:hAnsi="Arial" w:cs="Arial"/>
                <w:sz w:val="20"/>
                <w:szCs w:val="20"/>
              </w:rPr>
            </w:pPr>
          </w:p>
        </w:tc>
      </w:tr>
    </w:tbl>
    <w:p w:rsidR="00C357D3" w:rsidRDefault="00C357D3" w:rsidP="00F86F51">
      <w:pPr>
        <w:spacing w:line="360" w:lineRule="auto"/>
        <w:jc w:val="both"/>
        <w:rPr>
          <w:rFonts w:ascii="Arial" w:hAnsi="Arial" w:cs="Arial"/>
          <w:sz w:val="20"/>
          <w:szCs w:val="20"/>
        </w:rPr>
      </w:pPr>
    </w:p>
    <w:p w:rsidR="00C357D3" w:rsidRDefault="00C357D3" w:rsidP="00F86F51">
      <w:pPr>
        <w:spacing w:line="360" w:lineRule="auto"/>
        <w:jc w:val="both"/>
        <w:rPr>
          <w:rFonts w:ascii="Arial" w:hAnsi="Arial" w:cs="Arial"/>
          <w:sz w:val="20"/>
          <w:szCs w:val="20"/>
        </w:rPr>
      </w:pPr>
      <w:r>
        <w:rPr>
          <w:rFonts w:ascii="Arial" w:hAnsi="Arial" w:cs="Arial"/>
          <w:sz w:val="20"/>
          <w:szCs w:val="20"/>
        </w:rPr>
        <w:t>The annual General Meeting of Shareholders did not approve the result of implementation of operation plan in the 2019 report of the Board of Directors and 2020 operation plan because the voting rate was only 1.15% of total voting shares</w:t>
      </w:r>
    </w:p>
    <w:p w:rsidR="00C357D3" w:rsidRDefault="00C357D3" w:rsidP="00F86F51">
      <w:pPr>
        <w:spacing w:line="360" w:lineRule="auto"/>
        <w:jc w:val="both"/>
        <w:rPr>
          <w:rFonts w:ascii="Arial" w:hAnsi="Arial" w:cs="Arial"/>
          <w:sz w:val="20"/>
          <w:szCs w:val="20"/>
        </w:rPr>
      </w:pPr>
      <w:r>
        <w:rPr>
          <w:rFonts w:ascii="Arial" w:hAnsi="Arial" w:cs="Arial"/>
          <w:sz w:val="20"/>
          <w:szCs w:val="20"/>
        </w:rPr>
        <w:t>1.2 Other contents in the 2019 report of the Board of Directors and operation plan for 2020</w:t>
      </w:r>
    </w:p>
    <w:p w:rsidR="00C357D3" w:rsidRDefault="00C357D3" w:rsidP="00F86F51">
      <w:pPr>
        <w:spacing w:line="360" w:lineRule="auto"/>
        <w:jc w:val="both"/>
        <w:rPr>
          <w:rFonts w:ascii="Arial" w:hAnsi="Arial" w:cs="Arial"/>
          <w:sz w:val="20"/>
          <w:szCs w:val="20"/>
        </w:rPr>
      </w:pPr>
      <w:r>
        <w:rPr>
          <w:rFonts w:ascii="Arial" w:hAnsi="Arial" w:cs="Arial"/>
          <w:sz w:val="20"/>
          <w:szCs w:val="20"/>
        </w:rPr>
        <w:t>The annual General Meeting of Shareholders approved with voting rate of 100%</w:t>
      </w:r>
    </w:p>
    <w:p w:rsidR="00C357D3" w:rsidRDefault="00C357D3" w:rsidP="00F86F51">
      <w:pPr>
        <w:spacing w:line="360" w:lineRule="auto"/>
        <w:jc w:val="both"/>
        <w:rPr>
          <w:rFonts w:ascii="Arial" w:hAnsi="Arial" w:cs="Arial"/>
          <w:sz w:val="20"/>
          <w:szCs w:val="20"/>
        </w:rPr>
      </w:pPr>
      <w:r>
        <w:rPr>
          <w:rFonts w:ascii="Arial" w:hAnsi="Arial" w:cs="Arial"/>
          <w:sz w:val="20"/>
          <w:szCs w:val="20"/>
        </w:rPr>
        <w:t>Article 2: Report on operation result in 2019 and operation plan for 2020</w:t>
      </w:r>
    </w:p>
    <w:p w:rsidR="00C357D3" w:rsidRDefault="00C357D3" w:rsidP="00F86F51">
      <w:pPr>
        <w:spacing w:line="360" w:lineRule="auto"/>
        <w:jc w:val="both"/>
        <w:rPr>
          <w:rFonts w:ascii="Arial" w:hAnsi="Arial" w:cs="Arial"/>
          <w:sz w:val="20"/>
          <w:szCs w:val="20"/>
        </w:rPr>
      </w:pPr>
      <w:r>
        <w:rPr>
          <w:rFonts w:ascii="Arial" w:hAnsi="Arial" w:cs="Arial"/>
          <w:sz w:val="20"/>
          <w:szCs w:val="20"/>
        </w:rPr>
        <w:t>2.1 Operation result in 2019</w:t>
      </w:r>
    </w:p>
    <w:tbl>
      <w:tblPr>
        <w:tblStyle w:val="TableGrid"/>
        <w:tblW w:w="0" w:type="auto"/>
        <w:tblLook w:val="04A0" w:firstRow="1" w:lastRow="0" w:firstColumn="1" w:lastColumn="0" w:noHBand="0" w:noVBand="1"/>
      </w:tblPr>
      <w:tblGrid>
        <w:gridCol w:w="495"/>
        <w:gridCol w:w="2319"/>
        <w:gridCol w:w="1347"/>
        <w:gridCol w:w="1345"/>
        <w:gridCol w:w="1363"/>
        <w:gridCol w:w="1363"/>
        <w:gridCol w:w="1344"/>
      </w:tblGrid>
      <w:tr w:rsidR="00C357D3" w:rsidTr="00C357D3">
        <w:tc>
          <w:tcPr>
            <w:tcW w:w="49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No</w:t>
            </w:r>
          </w:p>
        </w:tc>
        <w:tc>
          <w:tcPr>
            <w:tcW w:w="2319"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Indicator</w:t>
            </w:r>
          </w:p>
        </w:tc>
        <w:tc>
          <w:tcPr>
            <w:tcW w:w="1347"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Unit</w:t>
            </w:r>
          </w:p>
        </w:tc>
        <w:tc>
          <w:tcPr>
            <w:tcW w:w="134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Plan 2019</w:t>
            </w:r>
          </w:p>
        </w:tc>
        <w:tc>
          <w:tcPr>
            <w:tcW w:w="1363"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Realization 2019</w:t>
            </w:r>
          </w:p>
        </w:tc>
        <w:tc>
          <w:tcPr>
            <w:tcW w:w="1363"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Realization 2019/ plan 2019</w:t>
            </w:r>
          </w:p>
        </w:tc>
        <w:tc>
          <w:tcPr>
            <w:tcW w:w="134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Note</w:t>
            </w:r>
          </w:p>
        </w:tc>
      </w:tr>
      <w:tr w:rsidR="00C357D3" w:rsidTr="00C357D3">
        <w:tc>
          <w:tcPr>
            <w:tcW w:w="49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A</w:t>
            </w:r>
          </w:p>
        </w:tc>
        <w:tc>
          <w:tcPr>
            <w:tcW w:w="2319"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B</w:t>
            </w:r>
          </w:p>
        </w:tc>
        <w:tc>
          <w:tcPr>
            <w:tcW w:w="1347"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C</w:t>
            </w:r>
          </w:p>
        </w:tc>
        <w:tc>
          <w:tcPr>
            <w:tcW w:w="134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1</w:t>
            </w:r>
          </w:p>
        </w:tc>
        <w:tc>
          <w:tcPr>
            <w:tcW w:w="1363"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2</w:t>
            </w:r>
          </w:p>
        </w:tc>
        <w:tc>
          <w:tcPr>
            <w:tcW w:w="1363"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3=2/1</w:t>
            </w:r>
          </w:p>
        </w:tc>
        <w:tc>
          <w:tcPr>
            <w:tcW w:w="1344"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3</w:t>
            </w:r>
          </w:p>
        </w:tc>
      </w:tr>
      <w:tr w:rsidR="00C357D3" w:rsidTr="00C357D3">
        <w:tc>
          <w:tcPr>
            <w:tcW w:w="49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I</w:t>
            </w:r>
          </w:p>
        </w:tc>
        <w:tc>
          <w:tcPr>
            <w:tcW w:w="2319"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Production</w:t>
            </w:r>
          </w:p>
        </w:tc>
        <w:tc>
          <w:tcPr>
            <w:tcW w:w="1347"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20</w:t>
            </w:r>
          </w:p>
        </w:tc>
        <w:tc>
          <w:tcPr>
            <w:tcW w:w="1363"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0</w:t>
            </w:r>
          </w:p>
        </w:tc>
        <w:tc>
          <w:tcPr>
            <w:tcW w:w="1363" w:type="dxa"/>
          </w:tcPr>
          <w:p w:rsidR="00C357D3" w:rsidRDefault="00C357D3" w:rsidP="00F86F51">
            <w:pPr>
              <w:spacing w:line="360" w:lineRule="auto"/>
              <w:jc w:val="both"/>
              <w:rPr>
                <w:rFonts w:ascii="Arial" w:hAnsi="Arial" w:cs="Arial"/>
                <w:sz w:val="20"/>
                <w:szCs w:val="20"/>
              </w:rPr>
            </w:pPr>
          </w:p>
        </w:tc>
        <w:tc>
          <w:tcPr>
            <w:tcW w:w="1344" w:type="dxa"/>
          </w:tcPr>
          <w:p w:rsidR="00C357D3" w:rsidRDefault="00C357D3" w:rsidP="00F86F51">
            <w:pPr>
              <w:spacing w:line="360" w:lineRule="auto"/>
              <w:jc w:val="both"/>
              <w:rPr>
                <w:rFonts w:ascii="Arial" w:hAnsi="Arial" w:cs="Arial"/>
                <w:sz w:val="20"/>
                <w:szCs w:val="20"/>
              </w:rPr>
            </w:pPr>
          </w:p>
        </w:tc>
      </w:tr>
      <w:tr w:rsidR="00C357D3" w:rsidTr="00C357D3">
        <w:tc>
          <w:tcPr>
            <w:tcW w:w="49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II</w:t>
            </w:r>
          </w:p>
        </w:tc>
        <w:tc>
          <w:tcPr>
            <w:tcW w:w="2319"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Financial indicator</w:t>
            </w:r>
          </w:p>
        </w:tc>
        <w:tc>
          <w:tcPr>
            <w:tcW w:w="1347" w:type="dxa"/>
          </w:tcPr>
          <w:p w:rsidR="00C357D3" w:rsidRDefault="00C357D3" w:rsidP="00F86F51">
            <w:pPr>
              <w:spacing w:line="360" w:lineRule="auto"/>
              <w:jc w:val="both"/>
              <w:rPr>
                <w:rFonts w:ascii="Arial" w:hAnsi="Arial" w:cs="Arial"/>
                <w:sz w:val="20"/>
                <w:szCs w:val="20"/>
              </w:rPr>
            </w:pPr>
          </w:p>
        </w:tc>
        <w:tc>
          <w:tcPr>
            <w:tcW w:w="1345" w:type="dxa"/>
          </w:tcPr>
          <w:p w:rsidR="00C357D3" w:rsidRDefault="00C357D3" w:rsidP="00F86F51">
            <w:pPr>
              <w:spacing w:line="360" w:lineRule="auto"/>
              <w:jc w:val="both"/>
              <w:rPr>
                <w:rFonts w:ascii="Arial" w:hAnsi="Arial" w:cs="Arial"/>
                <w:sz w:val="20"/>
                <w:szCs w:val="20"/>
              </w:rPr>
            </w:pPr>
          </w:p>
        </w:tc>
        <w:tc>
          <w:tcPr>
            <w:tcW w:w="1363" w:type="dxa"/>
          </w:tcPr>
          <w:p w:rsidR="00C357D3" w:rsidRDefault="00C357D3" w:rsidP="00F86F51">
            <w:pPr>
              <w:spacing w:line="360" w:lineRule="auto"/>
              <w:jc w:val="both"/>
              <w:rPr>
                <w:rFonts w:ascii="Arial" w:hAnsi="Arial" w:cs="Arial"/>
                <w:sz w:val="20"/>
                <w:szCs w:val="20"/>
              </w:rPr>
            </w:pPr>
          </w:p>
        </w:tc>
        <w:tc>
          <w:tcPr>
            <w:tcW w:w="1363" w:type="dxa"/>
          </w:tcPr>
          <w:p w:rsidR="00C357D3" w:rsidRDefault="00C357D3" w:rsidP="00F86F51">
            <w:pPr>
              <w:spacing w:line="360" w:lineRule="auto"/>
              <w:jc w:val="both"/>
              <w:rPr>
                <w:rFonts w:ascii="Arial" w:hAnsi="Arial" w:cs="Arial"/>
                <w:sz w:val="20"/>
                <w:szCs w:val="20"/>
              </w:rPr>
            </w:pPr>
          </w:p>
        </w:tc>
        <w:tc>
          <w:tcPr>
            <w:tcW w:w="1344" w:type="dxa"/>
          </w:tcPr>
          <w:p w:rsidR="00C357D3" w:rsidRDefault="00C357D3" w:rsidP="00F86F51">
            <w:pPr>
              <w:spacing w:line="360" w:lineRule="auto"/>
              <w:jc w:val="both"/>
              <w:rPr>
                <w:rFonts w:ascii="Arial" w:hAnsi="Arial" w:cs="Arial"/>
                <w:sz w:val="20"/>
                <w:szCs w:val="20"/>
              </w:rPr>
            </w:pPr>
          </w:p>
        </w:tc>
      </w:tr>
      <w:tr w:rsidR="00C357D3" w:rsidTr="00C357D3">
        <w:tc>
          <w:tcPr>
            <w:tcW w:w="495" w:type="dxa"/>
          </w:tcPr>
          <w:p w:rsidR="00C357D3" w:rsidRDefault="00C357D3" w:rsidP="00C357D3">
            <w:pPr>
              <w:spacing w:line="360" w:lineRule="auto"/>
              <w:jc w:val="both"/>
              <w:rPr>
                <w:rFonts w:ascii="Arial" w:hAnsi="Arial" w:cs="Arial"/>
                <w:sz w:val="20"/>
                <w:szCs w:val="20"/>
              </w:rPr>
            </w:pPr>
            <w:r>
              <w:rPr>
                <w:rFonts w:ascii="Arial" w:hAnsi="Arial" w:cs="Arial"/>
                <w:sz w:val="20"/>
                <w:szCs w:val="20"/>
              </w:rPr>
              <w:t>1</w:t>
            </w:r>
          </w:p>
        </w:tc>
        <w:tc>
          <w:tcPr>
            <w:tcW w:w="2319" w:type="dxa"/>
          </w:tcPr>
          <w:p w:rsidR="00C357D3" w:rsidRDefault="00C357D3" w:rsidP="00C357D3">
            <w:pPr>
              <w:spacing w:line="360" w:lineRule="auto"/>
              <w:jc w:val="both"/>
              <w:rPr>
                <w:rFonts w:ascii="Arial" w:hAnsi="Arial" w:cs="Arial"/>
                <w:sz w:val="20"/>
                <w:szCs w:val="20"/>
              </w:rPr>
            </w:pPr>
            <w:r>
              <w:rPr>
                <w:rFonts w:ascii="Arial" w:hAnsi="Arial" w:cs="Arial"/>
                <w:sz w:val="20"/>
                <w:szCs w:val="20"/>
              </w:rPr>
              <w:t>Charter capital</w:t>
            </w:r>
          </w:p>
        </w:tc>
        <w:tc>
          <w:tcPr>
            <w:tcW w:w="1347" w:type="dxa"/>
          </w:tcPr>
          <w:p w:rsidR="00C357D3" w:rsidRDefault="00C357D3" w:rsidP="00C357D3">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C357D3" w:rsidRDefault="00B9656C" w:rsidP="00C357D3">
            <w:pPr>
              <w:spacing w:line="360" w:lineRule="auto"/>
              <w:jc w:val="both"/>
              <w:rPr>
                <w:rFonts w:ascii="Arial" w:hAnsi="Arial" w:cs="Arial"/>
                <w:sz w:val="20"/>
                <w:szCs w:val="20"/>
              </w:rPr>
            </w:pPr>
            <w:r>
              <w:rPr>
                <w:rFonts w:ascii="Arial" w:hAnsi="Arial" w:cs="Arial"/>
                <w:sz w:val="20"/>
                <w:szCs w:val="20"/>
              </w:rPr>
              <w:t>218.46</w:t>
            </w:r>
          </w:p>
        </w:tc>
        <w:tc>
          <w:tcPr>
            <w:tcW w:w="1363" w:type="dxa"/>
          </w:tcPr>
          <w:p w:rsidR="00C357D3" w:rsidRDefault="00B9656C" w:rsidP="00C357D3">
            <w:pPr>
              <w:spacing w:line="360" w:lineRule="auto"/>
              <w:jc w:val="both"/>
              <w:rPr>
                <w:rFonts w:ascii="Arial" w:hAnsi="Arial" w:cs="Arial"/>
                <w:sz w:val="20"/>
                <w:szCs w:val="20"/>
              </w:rPr>
            </w:pPr>
            <w:r>
              <w:rPr>
                <w:rFonts w:ascii="Arial" w:hAnsi="Arial" w:cs="Arial"/>
                <w:sz w:val="20"/>
                <w:szCs w:val="20"/>
              </w:rPr>
              <w:t>218.46</w:t>
            </w:r>
          </w:p>
        </w:tc>
        <w:tc>
          <w:tcPr>
            <w:tcW w:w="1363" w:type="dxa"/>
          </w:tcPr>
          <w:p w:rsidR="00C357D3" w:rsidRDefault="00B9656C" w:rsidP="00C357D3">
            <w:pPr>
              <w:spacing w:line="360" w:lineRule="auto"/>
              <w:jc w:val="both"/>
              <w:rPr>
                <w:rFonts w:ascii="Arial" w:hAnsi="Arial" w:cs="Arial"/>
                <w:sz w:val="20"/>
                <w:szCs w:val="20"/>
              </w:rPr>
            </w:pPr>
            <w:r>
              <w:rPr>
                <w:rFonts w:ascii="Arial" w:hAnsi="Arial" w:cs="Arial"/>
                <w:sz w:val="20"/>
                <w:szCs w:val="20"/>
              </w:rPr>
              <w:t>100.0%</w:t>
            </w:r>
          </w:p>
        </w:tc>
        <w:tc>
          <w:tcPr>
            <w:tcW w:w="1344" w:type="dxa"/>
          </w:tcPr>
          <w:p w:rsidR="00C357D3" w:rsidRDefault="00C357D3" w:rsidP="00C357D3">
            <w:pPr>
              <w:spacing w:line="360" w:lineRule="auto"/>
              <w:jc w:val="both"/>
              <w:rPr>
                <w:rFonts w:ascii="Arial" w:hAnsi="Arial" w:cs="Arial"/>
                <w:sz w:val="20"/>
                <w:szCs w:val="20"/>
              </w:rPr>
            </w:pPr>
          </w:p>
        </w:tc>
      </w:tr>
      <w:tr w:rsidR="00C357D3" w:rsidTr="00C357D3">
        <w:tc>
          <w:tcPr>
            <w:tcW w:w="495" w:type="dxa"/>
          </w:tcPr>
          <w:p w:rsidR="00C357D3" w:rsidRDefault="00C357D3" w:rsidP="00C357D3">
            <w:pPr>
              <w:spacing w:line="360" w:lineRule="auto"/>
              <w:jc w:val="both"/>
              <w:rPr>
                <w:rFonts w:ascii="Arial" w:hAnsi="Arial" w:cs="Arial"/>
                <w:sz w:val="20"/>
                <w:szCs w:val="20"/>
              </w:rPr>
            </w:pPr>
            <w:r>
              <w:rPr>
                <w:rFonts w:ascii="Arial" w:hAnsi="Arial" w:cs="Arial"/>
                <w:sz w:val="20"/>
                <w:szCs w:val="20"/>
              </w:rPr>
              <w:t>2</w:t>
            </w:r>
          </w:p>
        </w:tc>
        <w:tc>
          <w:tcPr>
            <w:tcW w:w="2319" w:type="dxa"/>
          </w:tcPr>
          <w:p w:rsidR="00C357D3" w:rsidRDefault="00C357D3" w:rsidP="00C357D3">
            <w:pPr>
              <w:spacing w:line="360" w:lineRule="auto"/>
              <w:jc w:val="both"/>
              <w:rPr>
                <w:rFonts w:ascii="Arial" w:hAnsi="Arial" w:cs="Arial"/>
                <w:sz w:val="20"/>
                <w:szCs w:val="20"/>
              </w:rPr>
            </w:pPr>
            <w:r>
              <w:rPr>
                <w:rFonts w:ascii="Arial" w:hAnsi="Arial" w:cs="Arial"/>
                <w:sz w:val="20"/>
                <w:szCs w:val="20"/>
              </w:rPr>
              <w:t>Total revenue</w:t>
            </w:r>
          </w:p>
        </w:tc>
        <w:tc>
          <w:tcPr>
            <w:tcW w:w="1347" w:type="dxa"/>
          </w:tcPr>
          <w:p w:rsidR="00C357D3" w:rsidRDefault="00C357D3" w:rsidP="00C357D3">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C357D3" w:rsidRDefault="00B9656C" w:rsidP="00C357D3">
            <w:pPr>
              <w:spacing w:line="360" w:lineRule="auto"/>
              <w:jc w:val="both"/>
              <w:rPr>
                <w:rFonts w:ascii="Arial" w:hAnsi="Arial" w:cs="Arial"/>
                <w:sz w:val="20"/>
                <w:szCs w:val="20"/>
              </w:rPr>
            </w:pPr>
            <w:r>
              <w:rPr>
                <w:rFonts w:ascii="Arial" w:hAnsi="Arial" w:cs="Arial"/>
                <w:sz w:val="20"/>
                <w:szCs w:val="20"/>
              </w:rPr>
              <w:t>30</w:t>
            </w:r>
          </w:p>
        </w:tc>
        <w:tc>
          <w:tcPr>
            <w:tcW w:w="1363" w:type="dxa"/>
          </w:tcPr>
          <w:p w:rsidR="00C357D3" w:rsidRDefault="00B9656C" w:rsidP="00C357D3">
            <w:pPr>
              <w:spacing w:line="360" w:lineRule="auto"/>
              <w:jc w:val="both"/>
              <w:rPr>
                <w:rFonts w:ascii="Arial" w:hAnsi="Arial" w:cs="Arial"/>
                <w:sz w:val="20"/>
                <w:szCs w:val="20"/>
              </w:rPr>
            </w:pPr>
            <w:r>
              <w:rPr>
                <w:rFonts w:ascii="Arial" w:hAnsi="Arial" w:cs="Arial"/>
                <w:sz w:val="20"/>
                <w:szCs w:val="20"/>
              </w:rPr>
              <w:t>1.12</w:t>
            </w:r>
          </w:p>
        </w:tc>
        <w:tc>
          <w:tcPr>
            <w:tcW w:w="1363" w:type="dxa"/>
          </w:tcPr>
          <w:p w:rsidR="00C357D3" w:rsidRDefault="00B9656C" w:rsidP="00C357D3">
            <w:pPr>
              <w:spacing w:line="360" w:lineRule="auto"/>
              <w:jc w:val="both"/>
              <w:rPr>
                <w:rFonts w:ascii="Arial" w:hAnsi="Arial" w:cs="Arial"/>
                <w:sz w:val="20"/>
                <w:szCs w:val="20"/>
              </w:rPr>
            </w:pPr>
            <w:r>
              <w:rPr>
                <w:rFonts w:ascii="Arial" w:hAnsi="Arial" w:cs="Arial"/>
                <w:sz w:val="20"/>
                <w:szCs w:val="20"/>
              </w:rPr>
              <w:t>3.73%</w:t>
            </w:r>
          </w:p>
        </w:tc>
        <w:tc>
          <w:tcPr>
            <w:tcW w:w="1344" w:type="dxa"/>
          </w:tcPr>
          <w:p w:rsidR="00C357D3" w:rsidRDefault="00C357D3" w:rsidP="00C357D3">
            <w:pPr>
              <w:spacing w:line="360" w:lineRule="auto"/>
              <w:jc w:val="both"/>
              <w:rPr>
                <w:rFonts w:ascii="Arial" w:hAnsi="Arial" w:cs="Arial"/>
                <w:sz w:val="20"/>
                <w:szCs w:val="20"/>
              </w:rPr>
            </w:pPr>
          </w:p>
        </w:tc>
      </w:tr>
      <w:tr w:rsidR="00C357D3" w:rsidTr="00C357D3">
        <w:tc>
          <w:tcPr>
            <w:tcW w:w="495"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3</w:t>
            </w:r>
          </w:p>
        </w:tc>
        <w:tc>
          <w:tcPr>
            <w:tcW w:w="2319" w:type="dxa"/>
          </w:tcPr>
          <w:p w:rsidR="00C357D3" w:rsidRDefault="00C357D3" w:rsidP="00F86F51">
            <w:pPr>
              <w:spacing w:line="360" w:lineRule="auto"/>
              <w:jc w:val="both"/>
              <w:rPr>
                <w:rFonts w:ascii="Arial" w:hAnsi="Arial" w:cs="Arial"/>
                <w:sz w:val="20"/>
                <w:szCs w:val="20"/>
              </w:rPr>
            </w:pPr>
            <w:r>
              <w:rPr>
                <w:rFonts w:ascii="Arial" w:hAnsi="Arial" w:cs="Arial"/>
                <w:sz w:val="20"/>
                <w:szCs w:val="20"/>
              </w:rPr>
              <w:t>Profit</w:t>
            </w:r>
          </w:p>
        </w:tc>
        <w:tc>
          <w:tcPr>
            <w:tcW w:w="1347" w:type="dxa"/>
          </w:tcPr>
          <w:p w:rsidR="00C357D3" w:rsidRDefault="00C357D3" w:rsidP="00F86F51">
            <w:pPr>
              <w:spacing w:line="360" w:lineRule="auto"/>
              <w:jc w:val="both"/>
              <w:rPr>
                <w:rFonts w:ascii="Arial" w:hAnsi="Arial" w:cs="Arial"/>
                <w:sz w:val="20"/>
                <w:szCs w:val="20"/>
              </w:rPr>
            </w:pPr>
          </w:p>
        </w:tc>
        <w:tc>
          <w:tcPr>
            <w:tcW w:w="1345" w:type="dxa"/>
          </w:tcPr>
          <w:p w:rsidR="00C357D3" w:rsidRDefault="00C357D3" w:rsidP="00F86F51">
            <w:pPr>
              <w:spacing w:line="360" w:lineRule="auto"/>
              <w:jc w:val="both"/>
              <w:rPr>
                <w:rFonts w:ascii="Arial" w:hAnsi="Arial" w:cs="Arial"/>
                <w:sz w:val="20"/>
                <w:szCs w:val="20"/>
              </w:rPr>
            </w:pPr>
          </w:p>
        </w:tc>
        <w:tc>
          <w:tcPr>
            <w:tcW w:w="1363" w:type="dxa"/>
          </w:tcPr>
          <w:p w:rsidR="00C357D3" w:rsidRDefault="00C357D3" w:rsidP="00F86F51">
            <w:pPr>
              <w:spacing w:line="360" w:lineRule="auto"/>
              <w:jc w:val="both"/>
              <w:rPr>
                <w:rFonts w:ascii="Arial" w:hAnsi="Arial" w:cs="Arial"/>
                <w:sz w:val="20"/>
                <w:szCs w:val="20"/>
              </w:rPr>
            </w:pPr>
          </w:p>
        </w:tc>
        <w:tc>
          <w:tcPr>
            <w:tcW w:w="1363" w:type="dxa"/>
          </w:tcPr>
          <w:p w:rsidR="00C357D3" w:rsidRDefault="00C357D3" w:rsidP="00F86F51">
            <w:pPr>
              <w:spacing w:line="360" w:lineRule="auto"/>
              <w:jc w:val="both"/>
              <w:rPr>
                <w:rFonts w:ascii="Arial" w:hAnsi="Arial" w:cs="Arial"/>
                <w:sz w:val="20"/>
                <w:szCs w:val="20"/>
              </w:rPr>
            </w:pPr>
          </w:p>
        </w:tc>
        <w:tc>
          <w:tcPr>
            <w:tcW w:w="1344" w:type="dxa"/>
          </w:tcPr>
          <w:p w:rsidR="00C357D3" w:rsidRDefault="00C357D3" w:rsidP="00F86F51">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3.1</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 xml:space="preserve">Profit before tax </w:t>
            </w:r>
          </w:p>
        </w:tc>
        <w:tc>
          <w:tcPr>
            <w:tcW w:w="1347"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1.5</w:t>
            </w:r>
          </w:p>
        </w:tc>
        <w:tc>
          <w:tcPr>
            <w:tcW w:w="1363"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(-1.32)</w:t>
            </w: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3.2</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 xml:space="preserve">After-tax profit </w:t>
            </w:r>
          </w:p>
        </w:tc>
        <w:tc>
          <w:tcPr>
            <w:tcW w:w="1347"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1.5</w:t>
            </w:r>
          </w:p>
        </w:tc>
        <w:tc>
          <w:tcPr>
            <w:tcW w:w="1363"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(-1.32)</w:t>
            </w: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3.3</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After-tax profit/ charter capital</w:t>
            </w:r>
          </w:p>
        </w:tc>
        <w:tc>
          <w:tcPr>
            <w:tcW w:w="1347"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w:t>
            </w:r>
          </w:p>
        </w:tc>
        <w:tc>
          <w:tcPr>
            <w:tcW w:w="1345"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lastRenderedPageBreak/>
              <w:t>4</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Contributing to the State’s budget</w:t>
            </w:r>
          </w:p>
        </w:tc>
        <w:tc>
          <w:tcPr>
            <w:tcW w:w="1347"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III</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Investment indicator</w:t>
            </w:r>
          </w:p>
        </w:tc>
        <w:tc>
          <w:tcPr>
            <w:tcW w:w="1347"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IV</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Labor indicator and income</w:t>
            </w:r>
          </w:p>
        </w:tc>
        <w:tc>
          <w:tcPr>
            <w:tcW w:w="1347" w:type="dxa"/>
          </w:tcPr>
          <w:p w:rsidR="00B9656C" w:rsidRDefault="00B9656C" w:rsidP="00B9656C">
            <w:pPr>
              <w:spacing w:line="360" w:lineRule="auto"/>
              <w:jc w:val="both"/>
              <w:rPr>
                <w:rFonts w:ascii="Arial" w:hAnsi="Arial" w:cs="Arial"/>
                <w:sz w:val="20"/>
                <w:szCs w:val="20"/>
              </w:rPr>
            </w:pPr>
          </w:p>
        </w:tc>
        <w:tc>
          <w:tcPr>
            <w:tcW w:w="1345"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1</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Labor</w:t>
            </w:r>
          </w:p>
        </w:tc>
        <w:tc>
          <w:tcPr>
            <w:tcW w:w="1347" w:type="dxa"/>
          </w:tcPr>
          <w:p w:rsidR="00B9656C" w:rsidRDefault="00B9656C" w:rsidP="00B9656C">
            <w:pPr>
              <w:spacing w:line="360" w:lineRule="auto"/>
              <w:jc w:val="both"/>
              <w:rPr>
                <w:rFonts w:ascii="Arial" w:hAnsi="Arial" w:cs="Arial"/>
                <w:sz w:val="20"/>
                <w:szCs w:val="20"/>
              </w:rPr>
            </w:pPr>
          </w:p>
        </w:tc>
        <w:tc>
          <w:tcPr>
            <w:tcW w:w="1345"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Average labor</w:t>
            </w:r>
          </w:p>
        </w:tc>
        <w:tc>
          <w:tcPr>
            <w:tcW w:w="1347"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Person</w:t>
            </w:r>
          </w:p>
        </w:tc>
        <w:tc>
          <w:tcPr>
            <w:tcW w:w="134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22</w:t>
            </w:r>
          </w:p>
        </w:tc>
        <w:tc>
          <w:tcPr>
            <w:tcW w:w="1363"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15</w:t>
            </w:r>
          </w:p>
        </w:tc>
        <w:tc>
          <w:tcPr>
            <w:tcW w:w="1363"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68.2%</w:t>
            </w:r>
          </w:p>
        </w:tc>
        <w:tc>
          <w:tcPr>
            <w:tcW w:w="1344" w:type="dxa"/>
          </w:tcPr>
          <w:p w:rsidR="00B9656C" w:rsidRDefault="00B9656C" w:rsidP="00B9656C">
            <w:pPr>
              <w:spacing w:line="360" w:lineRule="auto"/>
              <w:jc w:val="both"/>
              <w:rPr>
                <w:rFonts w:ascii="Arial" w:hAnsi="Arial" w:cs="Arial"/>
                <w:sz w:val="20"/>
                <w:szCs w:val="20"/>
              </w:rPr>
            </w:pPr>
          </w:p>
        </w:tc>
      </w:tr>
      <w:tr w:rsidR="00B9656C" w:rsidTr="00C357D3">
        <w:tc>
          <w:tcPr>
            <w:tcW w:w="495"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2</w:t>
            </w:r>
          </w:p>
        </w:tc>
        <w:tc>
          <w:tcPr>
            <w:tcW w:w="2319" w:type="dxa"/>
          </w:tcPr>
          <w:p w:rsidR="00B9656C" w:rsidRDefault="00B9656C" w:rsidP="00B9656C">
            <w:pPr>
              <w:spacing w:line="360" w:lineRule="auto"/>
              <w:jc w:val="both"/>
              <w:rPr>
                <w:rFonts w:ascii="Arial" w:hAnsi="Arial" w:cs="Arial"/>
                <w:sz w:val="20"/>
                <w:szCs w:val="20"/>
              </w:rPr>
            </w:pPr>
            <w:r>
              <w:rPr>
                <w:rFonts w:ascii="Arial" w:hAnsi="Arial" w:cs="Arial"/>
                <w:sz w:val="20"/>
                <w:szCs w:val="20"/>
              </w:rPr>
              <w:t>Total salary fund</w:t>
            </w:r>
          </w:p>
        </w:tc>
        <w:tc>
          <w:tcPr>
            <w:tcW w:w="1347" w:type="dxa"/>
          </w:tcPr>
          <w:p w:rsidR="00B9656C" w:rsidRDefault="00B9656C" w:rsidP="00B9656C">
            <w:pPr>
              <w:spacing w:line="360" w:lineRule="auto"/>
              <w:jc w:val="both"/>
              <w:rPr>
                <w:rFonts w:ascii="Arial" w:hAnsi="Arial" w:cs="Arial"/>
                <w:sz w:val="20"/>
                <w:szCs w:val="20"/>
              </w:rPr>
            </w:pPr>
          </w:p>
        </w:tc>
        <w:tc>
          <w:tcPr>
            <w:tcW w:w="1345"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63" w:type="dxa"/>
          </w:tcPr>
          <w:p w:rsidR="00B9656C" w:rsidRDefault="00B9656C" w:rsidP="00B9656C">
            <w:pPr>
              <w:spacing w:line="360" w:lineRule="auto"/>
              <w:jc w:val="both"/>
              <w:rPr>
                <w:rFonts w:ascii="Arial" w:hAnsi="Arial" w:cs="Arial"/>
                <w:sz w:val="20"/>
                <w:szCs w:val="20"/>
              </w:rPr>
            </w:pPr>
          </w:p>
        </w:tc>
        <w:tc>
          <w:tcPr>
            <w:tcW w:w="1344" w:type="dxa"/>
          </w:tcPr>
          <w:p w:rsidR="00B9656C" w:rsidRDefault="00B9656C" w:rsidP="00B9656C">
            <w:pPr>
              <w:spacing w:line="360" w:lineRule="auto"/>
              <w:jc w:val="both"/>
              <w:rPr>
                <w:rFonts w:ascii="Arial" w:hAnsi="Arial" w:cs="Arial"/>
                <w:sz w:val="20"/>
                <w:szCs w:val="20"/>
              </w:rPr>
            </w:pPr>
          </w:p>
        </w:tc>
      </w:tr>
      <w:tr w:rsidR="00443BB6" w:rsidTr="00C357D3">
        <w:tc>
          <w:tcPr>
            <w:tcW w:w="495" w:type="dxa"/>
          </w:tcPr>
          <w:p w:rsidR="00443BB6" w:rsidRDefault="00443BB6" w:rsidP="00443BB6">
            <w:pPr>
              <w:spacing w:line="360" w:lineRule="auto"/>
              <w:jc w:val="both"/>
              <w:rPr>
                <w:rFonts w:ascii="Arial" w:hAnsi="Arial" w:cs="Arial"/>
                <w:sz w:val="20"/>
                <w:szCs w:val="20"/>
              </w:rPr>
            </w:pPr>
          </w:p>
        </w:tc>
        <w:tc>
          <w:tcPr>
            <w:tcW w:w="2319"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Realized salary in the period</w:t>
            </w:r>
          </w:p>
        </w:tc>
        <w:tc>
          <w:tcPr>
            <w:tcW w:w="1347"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VND billion</w:t>
            </w:r>
          </w:p>
        </w:tc>
        <w:tc>
          <w:tcPr>
            <w:tcW w:w="1345"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2</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0.65</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32.5%</w:t>
            </w:r>
          </w:p>
        </w:tc>
        <w:tc>
          <w:tcPr>
            <w:tcW w:w="1344" w:type="dxa"/>
          </w:tcPr>
          <w:p w:rsidR="00443BB6" w:rsidRDefault="00443BB6" w:rsidP="00443BB6">
            <w:pPr>
              <w:spacing w:line="360" w:lineRule="auto"/>
              <w:jc w:val="both"/>
              <w:rPr>
                <w:rFonts w:ascii="Arial" w:hAnsi="Arial" w:cs="Arial"/>
                <w:sz w:val="20"/>
                <w:szCs w:val="20"/>
              </w:rPr>
            </w:pPr>
          </w:p>
        </w:tc>
      </w:tr>
      <w:tr w:rsidR="00443BB6" w:rsidTr="00C357D3">
        <w:tc>
          <w:tcPr>
            <w:tcW w:w="495" w:type="dxa"/>
          </w:tcPr>
          <w:p w:rsidR="00443BB6" w:rsidRDefault="00443BB6" w:rsidP="00443BB6">
            <w:pPr>
              <w:spacing w:line="360" w:lineRule="auto"/>
              <w:jc w:val="both"/>
              <w:rPr>
                <w:rFonts w:ascii="Arial" w:hAnsi="Arial" w:cs="Arial"/>
                <w:sz w:val="20"/>
                <w:szCs w:val="20"/>
              </w:rPr>
            </w:pPr>
          </w:p>
        </w:tc>
        <w:tc>
          <w:tcPr>
            <w:tcW w:w="2319"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Average salary</w:t>
            </w:r>
          </w:p>
        </w:tc>
        <w:tc>
          <w:tcPr>
            <w:tcW w:w="1347"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VND million/ person/ month</w:t>
            </w:r>
          </w:p>
        </w:tc>
        <w:tc>
          <w:tcPr>
            <w:tcW w:w="1345"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4.5</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3.3</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73.3%</w:t>
            </w:r>
          </w:p>
        </w:tc>
        <w:tc>
          <w:tcPr>
            <w:tcW w:w="1344" w:type="dxa"/>
          </w:tcPr>
          <w:p w:rsidR="00443BB6" w:rsidRDefault="00443BB6" w:rsidP="00443BB6">
            <w:pPr>
              <w:spacing w:line="360" w:lineRule="auto"/>
              <w:jc w:val="both"/>
              <w:rPr>
                <w:rFonts w:ascii="Arial" w:hAnsi="Arial" w:cs="Arial"/>
                <w:sz w:val="20"/>
                <w:szCs w:val="20"/>
              </w:rPr>
            </w:pPr>
          </w:p>
        </w:tc>
      </w:tr>
      <w:tr w:rsidR="00443BB6" w:rsidTr="00C357D3">
        <w:tc>
          <w:tcPr>
            <w:tcW w:w="495" w:type="dxa"/>
          </w:tcPr>
          <w:p w:rsidR="00443BB6" w:rsidRDefault="00443BB6" w:rsidP="00443BB6">
            <w:pPr>
              <w:spacing w:line="360" w:lineRule="auto"/>
              <w:jc w:val="both"/>
              <w:rPr>
                <w:rFonts w:ascii="Arial" w:hAnsi="Arial" w:cs="Arial"/>
                <w:sz w:val="20"/>
                <w:szCs w:val="20"/>
              </w:rPr>
            </w:pPr>
          </w:p>
        </w:tc>
        <w:tc>
          <w:tcPr>
            <w:tcW w:w="2319"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Average income</w:t>
            </w:r>
          </w:p>
        </w:tc>
        <w:tc>
          <w:tcPr>
            <w:tcW w:w="1347"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VND million/ person/ month</w:t>
            </w:r>
          </w:p>
        </w:tc>
        <w:tc>
          <w:tcPr>
            <w:tcW w:w="1345"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4.5</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3.3</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73.3%</w:t>
            </w:r>
          </w:p>
        </w:tc>
        <w:tc>
          <w:tcPr>
            <w:tcW w:w="1344" w:type="dxa"/>
          </w:tcPr>
          <w:p w:rsidR="00443BB6" w:rsidRDefault="00443BB6" w:rsidP="00443BB6">
            <w:pPr>
              <w:spacing w:line="360" w:lineRule="auto"/>
              <w:jc w:val="both"/>
              <w:rPr>
                <w:rFonts w:ascii="Arial" w:hAnsi="Arial" w:cs="Arial"/>
                <w:sz w:val="20"/>
                <w:szCs w:val="20"/>
              </w:rPr>
            </w:pPr>
          </w:p>
        </w:tc>
      </w:tr>
      <w:tr w:rsidR="00443BB6" w:rsidTr="00C357D3">
        <w:tc>
          <w:tcPr>
            <w:tcW w:w="495"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V</w:t>
            </w:r>
          </w:p>
        </w:tc>
        <w:tc>
          <w:tcPr>
            <w:tcW w:w="2319"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 xml:space="preserve">Dividend payment </w:t>
            </w:r>
          </w:p>
        </w:tc>
        <w:tc>
          <w:tcPr>
            <w:tcW w:w="1347"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w:t>
            </w:r>
          </w:p>
        </w:tc>
        <w:tc>
          <w:tcPr>
            <w:tcW w:w="1345"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0</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0</w:t>
            </w:r>
          </w:p>
        </w:tc>
        <w:tc>
          <w:tcPr>
            <w:tcW w:w="1363" w:type="dxa"/>
          </w:tcPr>
          <w:p w:rsidR="00443BB6" w:rsidRDefault="00443BB6" w:rsidP="00443BB6">
            <w:pPr>
              <w:spacing w:line="360" w:lineRule="auto"/>
              <w:jc w:val="both"/>
              <w:rPr>
                <w:rFonts w:ascii="Arial" w:hAnsi="Arial" w:cs="Arial"/>
                <w:sz w:val="20"/>
                <w:szCs w:val="20"/>
              </w:rPr>
            </w:pPr>
            <w:r>
              <w:rPr>
                <w:rFonts w:ascii="Arial" w:hAnsi="Arial" w:cs="Arial"/>
                <w:sz w:val="20"/>
                <w:szCs w:val="20"/>
              </w:rPr>
              <w:t>0</w:t>
            </w:r>
          </w:p>
        </w:tc>
        <w:tc>
          <w:tcPr>
            <w:tcW w:w="1344" w:type="dxa"/>
          </w:tcPr>
          <w:p w:rsidR="00443BB6" w:rsidRDefault="00443BB6" w:rsidP="00443BB6">
            <w:pPr>
              <w:spacing w:line="360" w:lineRule="auto"/>
              <w:jc w:val="both"/>
              <w:rPr>
                <w:rFonts w:ascii="Arial" w:hAnsi="Arial" w:cs="Arial"/>
                <w:sz w:val="20"/>
                <w:szCs w:val="20"/>
              </w:rPr>
            </w:pPr>
          </w:p>
        </w:tc>
      </w:tr>
    </w:tbl>
    <w:p w:rsidR="00C357D3" w:rsidRDefault="00C357D3" w:rsidP="00F86F51">
      <w:pPr>
        <w:spacing w:line="360" w:lineRule="auto"/>
        <w:jc w:val="both"/>
        <w:rPr>
          <w:rFonts w:ascii="Arial" w:hAnsi="Arial" w:cs="Arial"/>
          <w:sz w:val="20"/>
          <w:szCs w:val="20"/>
        </w:rPr>
      </w:pPr>
    </w:p>
    <w:p w:rsidR="004E73CA" w:rsidRDefault="004E73CA" w:rsidP="004E73CA">
      <w:pPr>
        <w:spacing w:line="360" w:lineRule="auto"/>
        <w:jc w:val="both"/>
        <w:rPr>
          <w:rFonts w:ascii="Arial" w:hAnsi="Arial" w:cs="Arial"/>
          <w:sz w:val="20"/>
          <w:szCs w:val="20"/>
        </w:rPr>
      </w:pPr>
      <w:r>
        <w:rPr>
          <w:rFonts w:ascii="Arial" w:hAnsi="Arial" w:cs="Arial"/>
          <w:sz w:val="20"/>
          <w:szCs w:val="20"/>
        </w:rPr>
        <w:t xml:space="preserve">The annual General Meeting of Shareholders did not approve the operation result of 2019 </w:t>
      </w:r>
      <w:r>
        <w:rPr>
          <w:rFonts w:ascii="Arial" w:hAnsi="Arial" w:cs="Arial"/>
          <w:sz w:val="20"/>
          <w:szCs w:val="20"/>
        </w:rPr>
        <w:t>because the voting rate was only 1.15% of total voting shares</w:t>
      </w:r>
    </w:p>
    <w:p w:rsidR="004E73CA" w:rsidRDefault="004E73CA" w:rsidP="00F86F51">
      <w:pPr>
        <w:spacing w:line="360" w:lineRule="auto"/>
        <w:jc w:val="both"/>
        <w:rPr>
          <w:rFonts w:ascii="Arial" w:hAnsi="Arial" w:cs="Arial"/>
          <w:sz w:val="20"/>
          <w:szCs w:val="20"/>
        </w:rPr>
      </w:pPr>
      <w:r>
        <w:rPr>
          <w:rFonts w:ascii="Arial" w:hAnsi="Arial" w:cs="Arial"/>
          <w:sz w:val="20"/>
          <w:szCs w:val="20"/>
        </w:rPr>
        <w:t>2.2 Operation plan for 2020</w:t>
      </w:r>
    </w:p>
    <w:tbl>
      <w:tblPr>
        <w:tblStyle w:val="TableGrid"/>
        <w:tblW w:w="0" w:type="auto"/>
        <w:tblLook w:val="04A0" w:firstRow="1" w:lastRow="0" w:firstColumn="1" w:lastColumn="0" w:noHBand="0" w:noVBand="1"/>
      </w:tblPr>
      <w:tblGrid>
        <w:gridCol w:w="495"/>
        <w:gridCol w:w="2716"/>
        <w:gridCol w:w="1591"/>
        <w:gridCol w:w="1594"/>
        <w:gridCol w:w="1590"/>
        <w:gridCol w:w="1590"/>
      </w:tblGrid>
      <w:tr w:rsidR="004E73CA" w:rsidTr="004E73CA">
        <w:tc>
          <w:tcPr>
            <w:tcW w:w="495"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No</w:t>
            </w:r>
          </w:p>
        </w:tc>
        <w:tc>
          <w:tcPr>
            <w:tcW w:w="2716"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Indicator</w:t>
            </w:r>
          </w:p>
        </w:tc>
        <w:tc>
          <w:tcPr>
            <w:tcW w:w="1591"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Unit</w:t>
            </w:r>
          </w:p>
        </w:tc>
        <w:tc>
          <w:tcPr>
            <w:tcW w:w="1594"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Realization 2019</w:t>
            </w:r>
          </w:p>
        </w:tc>
        <w:tc>
          <w:tcPr>
            <w:tcW w:w="1590"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Plan 2020</w:t>
            </w:r>
          </w:p>
        </w:tc>
        <w:tc>
          <w:tcPr>
            <w:tcW w:w="1590"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Note</w:t>
            </w:r>
          </w:p>
        </w:tc>
      </w:tr>
      <w:tr w:rsidR="004E73CA" w:rsidTr="004E73CA">
        <w:tc>
          <w:tcPr>
            <w:tcW w:w="495"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A</w:t>
            </w:r>
          </w:p>
        </w:tc>
        <w:tc>
          <w:tcPr>
            <w:tcW w:w="2716"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B</w:t>
            </w:r>
          </w:p>
        </w:tc>
        <w:tc>
          <w:tcPr>
            <w:tcW w:w="1591"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C</w:t>
            </w:r>
          </w:p>
        </w:tc>
        <w:tc>
          <w:tcPr>
            <w:tcW w:w="1594"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1</w:t>
            </w:r>
          </w:p>
        </w:tc>
        <w:tc>
          <w:tcPr>
            <w:tcW w:w="1590"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2</w:t>
            </w:r>
          </w:p>
        </w:tc>
        <w:tc>
          <w:tcPr>
            <w:tcW w:w="1590" w:type="dxa"/>
          </w:tcPr>
          <w:p w:rsidR="004E73CA" w:rsidRDefault="004E73CA" w:rsidP="00F86F51">
            <w:pPr>
              <w:spacing w:line="360" w:lineRule="auto"/>
              <w:jc w:val="both"/>
              <w:rPr>
                <w:rFonts w:ascii="Arial" w:hAnsi="Arial" w:cs="Arial"/>
                <w:sz w:val="20"/>
                <w:szCs w:val="20"/>
              </w:rPr>
            </w:pPr>
            <w:r>
              <w:rPr>
                <w:rFonts w:ascii="Arial" w:hAnsi="Arial" w:cs="Arial"/>
                <w:sz w:val="20"/>
                <w:szCs w:val="20"/>
              </w:rPr>
              <w:t>3</w:t>
            </w: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I</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Production</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II</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Financial indicator</w:t>
            </w:r>
          </w:p>
        </w:tc>
        <w:tc>
          <w:tcPr>
            <w:tcW w:w="1591" w:type="dxa"/>
          </w:tcPr>
          <w:p w:rsidR="004E73CA" w:rsidRDefault="004E73CA" w:rsidP="004E73CA">
            <w:pPr>
              <w:spacing w:line="360" w:lineRule="auto"/>
              <w:jc w:val="both"/>
              <w:rPr>
                <w:rFonts w:ascii="Arial" w:hAnsi="Arial" w:cs="Arial"/>
                <w:sz w:val="20"/>
                <w:szCs w:val="20"/>
              </w:rPr>
            </w:pPr>
          </w:p>
        </w:tc>
        <w:tc>
          <w:tcPr>
            <w:tcW w:w="1594" w:type="dxa"/>
          </w:tcPr>
          <w:p w:rsidR="004E73CA" w:rsidRPr="004E73CA" w:rsidRDefault="004E73CA" w:rsidP="004E73CA">
            <w:pPr>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1</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Charter capital</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218.46</w:t>
            </w:r>
          </w:p>
        </w:tc>
        <w:tc>
          <w:tcPr>
            <w:tcW w:w="1590" w:type="dxa"/>
          </w:tcPr>
          <w:p w:rsidR="004E73CA" w:rsidRPr="004E73CA" w:rsidRDefault="004E73CA" w:rsidP="004E73CA">
            <w:pPr>
              <w:rPr>
                <w:rFonts w:ascii="Arial" w:hAnsi="Arial" w:cs="Arial"/>
                <w:sz w:val="20"/>
                <w:szCs w:val="20"/>
              </w:rPr>
            </w:pPr>
            <w:r w:rsidRPr="004E73CA">
              <w:rPr>
                <w:rFonts w:ascii="Arial" w:hAnsi="Arial" w:cs="Arial"/>
                <w:sz w:val="20"/>
                <w:szCs w:val="20"/>
              </w:rPr>
              <w:t>218.46</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2</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Total revenue</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1.12</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50</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 xml:space="preserve">Expected: </w:t>
            </w:r>
            <w:proofErr w:type="spellStart"/>
            <w:r>
              <w:rPr>
                <w:rFonts w:ascii="Arial" w:hAnsi="Arial" w:cs="Arial"/>
                <w:sz w:val="20"/>
                <w:szCs w:val="20"/>
              </w:rPr>
              <w:t>Vung</w:t>
            </w:r>
            <w:proofErr w:type="spellEnd"/>
            <w:r>
              <w:rPr>
                <w:rFonts w:ascii="Arial" w:hAnsi="Arial" w:cs="Arial"/>
                <w:sz w:val="20"/>
                <w:szCs w:val="20"/>
              </w:rPr>
              <w:t xml:space="preserve"> </w:t>
            </w:r>
            <w:proofErr w:type="spellStart"/>
            <w:r>
              <w:rPr>
                <w:rFonts w:ascii="Arial" w:hAnsi="Arial" w:cs="Arial"/>
                <w:sz w:val="20"/>
                <w:szCs w:val="20"/>
              </w:rPr>
              <w:t>Ang</w:t>
            </w:r>
            <w:proofErr w:type="spellEnd"/>
            <w:r>
              <w:rPr>
                <w:rFonts w:ascii="Arial" w:hAnsi="Arial" w:cs="Arial"/>
                <w:sz w:val="20"/>
                <w:szCs w:val="20"/>
              </w:rPr>
              <w:t xml:space="preserve"> housing area for employees and </w:t>
            </w:r>
            <w:proofErr w:type="spellStart"/>
            <w:r>
              <w:rPr>
                <w:rFonts w:ascii="Arial" w:hAnsi="Arial" w:cs="Arial"/>
                <w:sz w:val="20"/>
                <w:szCs w:val="20"/>
              </w:rPr>
              <w:t>Anh</w:t>
            </w:r>
            <w:proofErr w:type="spellEnd"/>
            <w:r>
              <w:rPr>
                <w:rFonts w:ascii="Arial" w:hAnsi="Arial" w:cs="Arial"/>
                <w:sz w:val="20"/>
                <w:szCs w:val="20"/>
              </w:rPr>
              <w:t xml:space="preserve"> Son Cement Company</w:t>
            </w: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3</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Profit</w:t>
            </w:r>
          </w:p>
        </w:tc>
        <w:tc>
          <w:tcPr>
            <w:tcW w:w="1591" w:type="dxa"/>
          </w:tcPr>
          <w:p w:rsidR="004E73CA" w:rsidRDefault="004E73CA" w:rsidP="004E73CA">
            <w:pPr>
              <w:spacing w:line="360" w:lineRule="auto"/>
              <w:jc w:val="both"/>
              <w:rPr>
                <w:rFonts w:ascii="Arial" w:hAnsi="Arial" w:cs="Arial"/>
                <w:sz w:val="20"/>
                <w:szCs w:val="20"/>
              </w:rPr>
            </w:pPr>
          </w:p>
        </w:tc>
        <w:tc>
          <w:tcPr>
            <w:tcW w:w="1594" w:type="dxa"/>
          </w:tcPr>
          <w:p w:rsidR="004E73CA" w:rsidRPr="004E73CA" w:rsidRDefault="004E73CA" w:rsidP="004E73CA">
            <w:pPr>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lastRenderedPageBreak/>
              <w:t>3.1</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 xml:space="preserve">Profit before tax </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(-1.32)</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3.2</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 xml:space="preserve">After-tax profit </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(-1.32)</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3.3</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After-tax profit/ charter capital</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w:t>
            </w:r>
          </w:p>
        </w:tc>
        <w:tc>
          <w:tcPr>
            <w:tcW w:w="1594" w:type="dxa"/>
          </w:tcPr>
          <w:p w:rsidR="004E73CA" w:rsidRPr="004E73CA" w:rsidRDefault="004E73CA" w:rsidP="004E73CA">
            <w:pPr>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4</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Contributing to the State’s budget</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III</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Investment indicator</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IV</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Labor indicator and income</w:t>
            </w:r>
          </w:p>
        </w:tc>
        <w:tc>
          <w:tcPr>
            <w:tcW w:w="1591" w:type="dxa"/>
          </w:tcPr>
          <w:p w:rsidR="004E73CA" w:rsidRDefault="004E73CA" w:rsidP="004E73CA">
            <w:pPr>
              <w:spacing w:line="360" w:lineRule="auto"/>
              <w:jc w:val="both"/>
              <w:rPr>
                <w:rFonts w:ascii="Arial" w:hAnsi="Arial" w:cs="Arial"/>
                <w:sz w:val="20"/>
                <w:szCs w:val="20"/>
              </w:rPr>
            </w:pPr>
          </w:p>
        </w:tc>
        <w:tc>
          <w:tcPr>
            <w:tcW w:w="1594" w:type="dxa"/>
          </w:tcPr>
          <w:p w:rsidR="004E73CA" w:rsidRPr="004E73CA" w:rsidRDefault="004E73CA" w:rsidP="004E73CA">
            <w:pPr>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1</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Labor</w:t>
            </w:r>
          </w:p>
        </w:tc>
        <w:tc>
          <w:tcPr>
            <w:tcW w:w="1591" w:type="dxa"/>
          </w:tcPr>
          <w:p w:rsidR="004E73CA" w:rsidRDefault="004E73CA" w:rsidP="004E73CA">
            <w:pPr>
              <w:spacing w:line="360" w:lineRule="auto"/>
              <w:jc w:val="both"/>
              <w:rPr>
                <w:rFonts w:ascii="Arial" w:hAnsi="Arial" w:cs="Arial"/>
                <w:sz w:val="20"/>
                <w:szCs w:val="20"/>
              </w:rPr>
            </w:pPr>
          </w:p>
        </w:tc>
        <w:tc>
          <w:tcPr>
            <w:tcW w:w="1594" w:type="dxa"/>
          </w:tcPr>
          <w:p w:rsidR="004E73CA" w:rsidRPr="004E73CA" w:rsidRDefault="004E73CA" w:rsidP="004E73CA">
            <w:pPr>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Average labor</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Person</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15</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14</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2</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Total salary fund</w:t>
            </w:r>
          </w:p>
        </w:tc>
        <w:tc>
          <w:tcPr>
            <w:tcW w:w="1591" w:type="dxa"/>
          </w:tcPr>
          <w:p w:rsidR="004E73CA" w:rsidRDefault="004E73CA" w:rsidP="004E73CA">
            <w:pPr>
              <w:spacing w:line="360" w:lineRule="auto"/>
              <w:jc w:val="both"/>
              <w:rPr>
                <w:rFonts w:ascii="Arial" w:hAnsi="Arial" w:cs="Arial"/>
                <w:sz w:val="20"/>
                <w:szCs w:val="20"/>
              </w:rPr>
            </w:pP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0.65</w:t>
            </w:r>
          </w:p>
        </w:tc>
        <w:tc>
          <w:tcPr>
            <w:tcW w:w="1590" w:type="dxa"/>
          </w:tcPr>
          <w:p w:rsidR="004E73CA" w:rsidRDefault="004E73CA" w:rsidP="004E73CA">
            <w:pPr>
              <w:spacing w:line="360" w:lineRule="auto"/>
              <w:jc w:val="both"/>
              <w:rPr>
                <w:rFonts w:ascii="Arial" w:hAnsi="Arial" w:cs="Arial"/>
                <w:sz w:val="20"/>
                <w:szCs w:val="20"/>
              </w:rPr>
            </w:pP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Realized salary in the period</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billion</w:t>
            </w:r>
          </w:p>
        </w:tc>
        <w:tc>
          <w:tcPr>
            <w:tcW w:w="1594" w:type="dxa"/>
          </w:tcPr>
          <w:p w:rsidR="004E73CA" w:rsidRPr="004E73CA" w:rsidRDefault="004E73CA" w:rsidP="004E73CA">
            <w:pPr>
              <w:rPr>
                <w:rFonts w:ascii="Arial" w:hAnsi="Arial" w:cs="Arial"/>
                <w:sz w:val="20"/>
                <w:szCs w:val="20"/>
              </w:rPr>
            </w:pPr>
            <w:r>
              <w:rPr>
                <w:rFonts w:ascii="Arial" w:hAnsi="Arial" w:cs="Arial"/>
                <w:sz w:val="20"/>
                <w:szCs w:val="20"/>
              </w:rPr>
              <w:t>0.861</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2</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Average salary</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million/ person/ month</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3.3</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4.5</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Average income</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VND million/ person/ month</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3.3</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4.5</w:t>
            </w:r>
          </w:p>
        </w:tc>
        <w:tc>
          <w:tcPr>
            <w:tcW w:w="1590" w:type="dxa"/>
          </w:tcPr>
          <w:p w:rsidR="004E73CA" w:rsidRDefault="004E73CA" w:rsidP="004E73CA">
            <w:pPr>
              <w:spacing w:line="360" w:lineRule="auto"/>
              <w:jc w:val="both"/>
              <w:rPr>
                <w:rFonts w:ascii="Arial" w:hAnsi="Arial" w:cs="Arial"/>
                <w:sz w:val="20"/>
                <w:szCs w:val="20"/>
              </w:rPr>
            </w:pPr>
          </w:p>
        </w:tc>
      </w:tr>
      <w:tr w:rsidR="004E73CA" w:rsidTr="004E73CA">
        <w:tc>
          <w:tcPr>
            <w:tcW w:w="495"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V</w:t>
            </w:r>
          </w:p>
        </w:tc>
        <w:tc>
          <w:tcPr>
            <w:tcW w:w="2716"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 xml:space="preserve">Dividend payment </w:t>
            </w:r>
          </w:p>
        </w:tc>
        <w:tc>
          <w:tcPr>
            <w:tcW w:w="1591"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w:t>
            </w:r>
          </w:p>
        </w:tc>
        <w:tc>
          <w:tcPr>
            <w:tcW w:w="1594" w:type="dxa"/>
          </w:tcPr>
          <w:p w:rsidR="004E73CA" w:rsidRPr="004E73CA" w:rsidRDefault="004E73CA" w:rsidP="004E73CA">
            <w:pPr>
              <w:rPr>
                <w:rFonts w:ascii="Arial" w:hAnsi="Arial" w:cs="Arial"/>
                <w:sz w:val="20"/>
                <w:szCs w:val="20"/>
              </w:rPr>
            </w:pPr>
            <w:r w:rsidRPr="004E73CA">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r>
              <w:rPr>
                <w:rFonts w:ascii="Arial" w:hAnsi="Arial" w:cs="Arial"/>
                <w:sz w:val="20"/>
                <w:szCs w:val="20"/>
              </w:rPr>
              <w:t>0</w:t>
            </w:r>
          </w:p>
        </w:tc>
        <w:tc>
          <w:tcPr>
            <w:tcW w:w="1590" w:type="dxa"/>
          </w:tcPr>
          <w:p w:rsidR="004E73CA" w:rsidRDefault="004E73CA" w:rsidP="004E73CA">
            <w:pPr>
              <w:spacing w:line="360" w:lineRule="auto"/>
              <w:jc w:val="both"/>
              <w:rPr>
                <w:rFonts w:ascii="Arial" w:hAnsi="Arial" w:cs="Arial"/>
                <w:sz w:val="20"/>
                <w:szCs w:val="20"/>
              </w:rPr>
            </w:pPr>
          </w:p>
        </w:tc>
      </w:tr>
    </w:tbl>
    <w:p w:rsidR="004E73CA" w:rsidRDefault="004E73CA" w:rsidP="00F86F51">
      <w:pPr>
        <w:spacing w:line="360" w:lineRule="auto"/>
        <w:jc w:val="both"/>
        <w:rPr>
          <w:rFonts w:ascii="Arial" w:hAnsi="Arial" w:cs="Arial"/>
          <w:sz w:val="20"/>
          <w:szCs w:val="20"/>
        </w:rPr>
      </w:pPr>
    </w:p>
    <w:p w:rsidR="00443BB6" w:rsidRDefault="00443BB6" w:rsidP="00443BB6">
      <w:pPr>
        <w:spacing w:line="360" w:lineRule="auto"/>
        <w:jc w:val="both"/>
        <w:rPr>
          <w:rFonts w:ascii="Arial" w:hAnsi="Arial" w:cs="Arial"/>
          <w:sz w:val="20"/>
          <w:szCs w:val="20"/>
        </w:rPr>
      </w:pPr>
      <w:r>
        <w:rPr>
          <w:rFonts w:ascii="Arial" w:hAnsi="Arial" w:cs="Arial"/>
          <w:sz w:val="20"/>
          <w:szCs w:val="20"/>
        </w:rPr>
        <w:t xml:space="preserve">The annual General Meeting of Shareholders did not approve the </w:t>
      </w:r>
      <w:r>
        <w:rPr>
          <w:rFonts w:ascii="Arial" w:hAnsi="Arial" w:cs="Arial"/>
          <w:sz w:val="20"/>
          <w:szCs w:val="20"/>
        </w:rPr>
        <w:t>operation plan for 2020</w:t>
      </w:r>
      <w:r>
        <w:rPr>
          <w:rFonts w:ascii="Arial" w:hAnsi="Arial" w:cs="Arial"/>
          <w:sz w:val="20"/>
          <w:szCs w:val="20"/>
        </w:rPr>
        <w:t xml:space="preserve"> because the voting rate was only 1.15% of total voting shares</w:t>
      </w:r>
    </w:p>
    <w:p w:rsidR="00443BB6" w:rsidRDefault="00443BB6" w:rsidP="00443BB6">
      <w:pPr>
        <w:spacing w:line="360" w:lineRule="auto"/>
        <w:jc w:val="both"/>
        <w:rPr>
          <w:rFonts w:ascii="Arial" w:hAnsi="Arial" w:cs="Arial"/>
          <w:sz w:val="20"/>
          <w:szCs w:val="20"/>
        </w:rPr>
      </w:pPr>
      <w:r>
        <w:rPr>
          <w:rFonts w:ascii="Arial" w:hAnsi="Arial" w:cs="Arial"/>
          <w:sz w:val="20"/>
          <w:szCs w:val="20"/>
        </w:rPr>
        <w:t>Article 3:</w:t>
      </w:r>
      <w:r w:rsidRPr="00443BB6">
        <w:rPr>
          <w:rFonts w:ascii="Arial" w:hAnsi="Arial" w:cs="Arial"/>
          <w:sz w:val="20"/>
          <w:szCs w:val="20"/>
        </w:rPr>
        <w:t xml:space="preserve"> Operation report of the Supervisory Board in 2019 a</w:t>
      </w:r>
      <w:r>
        <w:rPr>
          <w:rFonts w:ascii="Arial" w:hAnsi="Arial" w:cs="Arial"/>
          <w:sz w:val="20"/>
          <w:szCs w:val="20"/>
        </w:rPr>
        <w:t>nd the operation plan for 2020</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The </w:t>
      </w:r>
      <w:r>
        <w:rPr>
          <w:rFonts w:ascii="Arial" w:hAnsi="Arial" w:cs="Arial"/>
          <w:sz w:val="20"/>
          <w:szCs w:val="20"/>
        </w:rPr>
        <w:t xml:space="preserve">annual </w:t>
      </w:r>
      <w:r w:rsidRPr="00443BB6">
        <w:rPr>
          <w:rFonts w:ascii="Arial" w:hAnsi="Arial" w:cs="Arial"/>
          <w:sz w:val="20"/>
          <w:szCs w:val="20"/>
        </w:rPr>
        <w:t xml:space="preserve">General Meeting of Shareholders approved the operation report of the Supervisory Board in 2019 and the 2020 plan with the voting rate of 100% of the total voting shares </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Article 4</w:t>
      </w:r>
      <w:r>
        <w:rPr>
          <w:rFonts w:ascii="Arial" w:hAnsi="Arial" w:cs="Arial"/>
          <w:sz w:val="20"/>
          <w:szCs w:val="20"/>
        </w:rPr>
        <w:t>:</w:t>
      </w:r>
      <w:r w:rsidRPr="00443BB6">
        <w:rPr>
          <w:rFonts w:ascii="Arial" w:hAnsi="Arial" w:cs="Arial"/>
          <w:sz w:val="20"/>
          <w:szCs w:val="20"/>
        </w:rPr>
        <w:t xml:space="preserve"> Remuneration of the Board of Directors and Supervisory Board in 2019, remuneration estimates for 2020 are as follows: </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1. Finalization of salaries and remuneration of the Board of Directors and Supervisory Board in 2019: </w:t>
      </w:r>
    </w:p>
    <w:p w:rsidR="00443BB6" w:rsidRDefault="00443BB6" w:rsidP="00443BB6">
      <w:pPr>
        <w:spacing w:line="360" w:lineRule="auto"/>
        <w:jc w:val="both"/>
        <w:rPr>
          <w:rFonts w:ascii="Arial" w:hAnsi="Arial" w:cs="Arial"/>
          <w:sz w:val="20"/>
          <w:szCs w:val="20"/>
        </w:rPr>
      </w:pPr>
      <w:r>
        <w:rPr>
          <w:rFonts w:ascii="Arial" w:hAnsi="Arial" w:cs="Arial"/>
          <w:sz w:val="20"/>
          <w:szCs w:val="20"/>
        </w:rPr>
        <w:t>- Total salary</w:t>
      </w:r>
      <w:r w:rsidRPr="00443BB6">
        <w:rPr>
          <w:rFonts w:ascii="Arial" w:hAnsi="Arial" w:cs="Arial"/>
          <w:sz w:val="20"/>
          <w:szCs w:val="20"/>
        </w:rPr>
        <w:t xml:space="preserve">, Board of Directors' remuneration: </w:t>
      </w:r>
      <w:r w:rsidRPr="00443BB6">
        <w:rPr>
          <w:rFonts w:ascii="Arial" w:hAnsi="Arial" w:cs="Arial"/>
          <w:sz w:val="20"/>
          <w:szCs w:val="20"/>
        </w:rPr>
        <w:t>VND</w:t>
      </w:r>
      <w:r w:rsidRPr="00443BB6">
        <w:rPr>
          <w:rFonts w:ascii="Arial" w:hAnsi="Arial" w:cs="Arial"/>
          <w:sz w:val="20"/>
          <w:szCs w:val="20"/>
        </w:rPr>
        <w:t xml:space="preserve"> 117,984,090 </w:t>
      </w:r>
    </w:p>
    <w:p w:rsidR="00443BB6" w:rsidRDefault="00443BB6" w:rsidP="00443BB6">
      <w:pPr>
        <w:spacing w:line="360" w:lineRule="auto"/>
        <w:jc w:val="both"/>
        <w:rPr>
          <w:rFonts w:ascii="Arial" w:hAnsi="Arial" w:cs="Arial"/>
          <w:sz w:val="20"/>
          <w:szCs w:val="20"/>
        </w:rPr>
      </w:pPr>
      <w:r>
        <w:rPr>
          <w:rFonts w:ascii="Arial" w:hAnsi="Arial" w:cs="Arial"/>
          <w:sz w:val="20"/>
          <w:szCs w:val="20"/>
        </w:rPr>
        <w:t>- Total salary, remuneration for the Supervisor Board: VND 54,081,820</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The </w:t>
      </w:r>
      <w:r>
        <w:rPr>
          <w:rFonts w:ascii="Arial" w:hAnsi="Arial" w:cs="Arial"/>
          <w:sz w:val="20"/>
          <w:szCs w:val="20"/>
        </w:rPr>
        <w:t xml:space="preserve">annual </w:t>
      </w:r>
      <w:r w:rsidRPr="00443BB6">
        <w:rPr>
          <w:rFonts w:ascii="Arial" w:hAnsi="Arial" w:cs="Arial"/>
          <w:sz w:val="20"/>
          <w:szCs w:val="20"/>
        </w:rPr>
        <w:t xml:space="preserve">General Meeting of Shareholders approved the </w:t>
      </w:r>
      <w:r>
        <w:rPr>
          <w:rFonts w:ascii="Arial" w:hAnsi="Arial" w:cs="Arial"/>
          <w:sz w:val="20"/>
          <w:szCs w:val="20"/>
        </w:rPr>
        <w:t xml:space="preserve">remuneration </w:t>
      </w:r>
      <w:r w:rsidRPr="00443BB6">
        <w:rPr>
          <w:rFonts w:ascii="Arial" w:hAnsi="Arial" w:cs="Arial"/>
          <w:sz w:val="20"/>
          <w:szCs w:val="20"/>
        </w:rPr>
        <w:t xml:space="preserve">settlement </w:t>
      </w:r>
      <w:r>
        <w:rPr>
          <w:rFonts w:ascii="Arial" w:hAnsi="Arial" w:cs="Arial"/>
          <w:sz w:val="20"/>
          <w:szCs w:val="20"/>
        </w:rPr>
        <w:t>for</w:t>
      </w:r>
      <w:r w:rsidRPr="00443BB6">
        <w:rPr>
          <w:rFonts w:ascii="Arial" w:hAnsi="Arial" w:cs="Arial"/>
          <w:sz w:val="20"/>
          <w:szCs w:val="20"/>
        </w:rPr>
        <w:t xml:space="preserve"> the Board of Directors and the Supervisory Board in 2019 with the </w:t>
      </w:r>
      <w:r>
        <w:rPr>
          <w:rFonts w:ascii="Arial" w:hAnsi="Arial" w:cs="Arial"/>
          <w:sz w:val="20"/>
          <w:szCs w:val="20"/>
        </w:rPr>
        <w:t xml:space="preserve">voting rate of </w:t>
      </w:r>
      <w:r w:rsidRPr="00443BB6">
        <w:rPr>
          <w:rFonts w:ascii="Arial" w:hAnsi="Arial" w:cs="Arial"/>
          <w:sz w:val="20"/>
          <w:szCs w:val="20"/>
        </w:rPr>
        <w:t>100% of the total</w:t>
      </w:r>
      <w:r>
        <w:rPr>
          <w:rFonts w:ascii="Arial" w:hAnsi="Arial" w:cs="Arial"/>
          <w:sz w:val="20"/>
          <w:szCs w:val="20"/>
        </w:rPr>
        <w:t xml:space="preserve"> voting</w:t>
      </w:r>
      <w:r w:rsidRPr="00443BB6">
        <w:rPr>
          <w:rFonts w:ascii="Arial" w:hAnsi="Arial" w:cs="Arial"/>
          <w:sz w:val="20"/>
          <w:szCs w:val="20"/>
        </w:rPr>
        <w:t xml:space="preserve"> shares </w:t>
      </w:r>
      <w:r>
        <w:rPr>
          <w:rFonts w:ascii="Arial" w:hAnsi="Arial" w:cs="Arial"/>
          <w:sz w:val="20"/>
          <w:szCs w:val="20"/>
        </w:rPr>
        <w:t>at the Meeting</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lastRenderedPageBreak/>
        <w:t xml:space="preserve">2. Salary and remuneration plan for the Board of Directors and the </w:t>
      </w:r>
      <w:r>
        <w:rPr>
          <w:rFonts w:ascii="Arial" w:hAnsi="Arial" w:cs="Arial"/>
          <w:sz w:val="20"/>
          <w:szCs w:val="20"/>
        </w:rPr>
        <w:t>Supervisor Board</w:t>
      </w:r>
      <w:r w:rsidRPr="00443BB6">
        <w:rPr>
          <w:rFonts w:ascii="Arial" w:hAnsi="Arial" w:cs="Arial"/>
          <w:sz w:val="20"/>
          <w:szCs w:val="20"/>
        </w:rPr>
        <w:t xml:space="preserve"> in 2020: </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 </w:t>
      </w:r>
      <w:r>
        <w:rPr>
          <w:rFonts w:ascii="Arial" w:hAnsi="Arial" w:cs="Arial"/>
          <w:sz w:val="20"/>
          <w:szCs w:val="20"/>
        </w:rPr>
        <w:t>Salary for f</w:t>
      </w:r>
      <w:r w:rsidRPr="00443BB6">
        <w:rPr>
          <w:rFonts w:ascii="Arial" w:hAnsi="Arial" w:cs="Arial"/>
          <w:sz w:val="20"/>
          <w:szCs w:val="20"/>
        </w:rPr>
        <w:t>ull-time Chairman of the Boa</w:t>
      </w:r>
      <w:r>
        <w:rPr>
          <w:rFonts w:ascii="Arial" w:hAnsi="Arial" w:cs="Arial"/>
          <w:sz w:val="20"/>
          <w:szCs w:val="20"/>
        </w:rPr>
        <w:t>rd of Directors: VND 15,000,000/ month</w:t>
      </w:r>
    </w:p>
    <w:p w:rsidR="00443BB6" w:rsidRDefault="00443BB6" w:rsidP="00443BB6">
      <w:pPr>
        <w:spacing w:line="360" w:lineRule="auto"/>
        <w:jc w:val="both"/>
        <w:rPr>
          <w:rFonts w:ascii="Arial" w:hAnsi="Arial" w:cs="Arial"/>
          <w:sz w:val="20"/>
          <w:szCs w:val="20"/>
        </w:rPr>
      </w:pPr>
      <w:r>
        <w:rPr>
          <w:rFonts w:ascii="Arial" w:hAnsi="Arial" w:cs="Arial"/>
          <w:sz w:val="20"/>
          <w:szCs w:val="20"/>
        </w:rPr>
        <w:t xml:space="preserve">- </w:t>
      </w:r>
      <w:r w:rsidRPr="00443BB6">
        <w:rPr>
          <w:rFonts w:ascii="Arial" w:hAnsi="Arial" w:cs="Arial"/>
          <w:sz w:val="20"/>
          <w:szCs w:val="20"/>
        </w:rPr>
        <w:t>Remuneration for full-</w:t>
      </w:r>
      <w:r>
        <w:rPr>
          <w:rFonts w:ascii="Arial" w:hAnsi="Arial" w:cs="Arial"/>
          <w:sz w:val="20"/>
          <w:szCs w:val="20"/>
        </w:rPr>
        <w:t>time member</w:t>
      </w:r>
      <w:r w:rsidRPr="00443BB6">
        <w:rPr>
          <w:rFonts w:ascii="Arial" w:hAnsi="Arial" w:cs="Arial"/>
          <w:sz w:val="20"/>
          <w:szCs w:val="20"/>
        </w:rPr>
        <w:t xml:space="preserve"> of the Bo</w:t>
      </w:r>
      <w:r>
        <w:rPr>
          <w:rFonts w:ascii="Arial" w:hAnsi="Arial" w:cs="Arial"/>
          <w:sz w:val="20"/>
          <w:szCs w:val="20"/>
        </w:rPr>
        <w:t>ard of Directors: VND 8,000,000/ month</w:t>
      </w:r>
    </w:p>
    <w:p w:rsidR="00443BB6" w:rsidRDefault="00443BB6" w:rsidP="00443BB6">
      <w:pPr>
        <w:spacing w:line="360" w:lineRule="auto"/>
        <w:jc w:val="both"/>
        <w:rPr>
          <w:rFonts w:ascii="Arial" w:hAnsi="Arial" w:cs="Arial"/>
          <w:sz w:val="20"/>
          <w:szCs w:val="20"/>
        </w:rPr>
      </w:pPr>
      <w:r>
        <w:rPr>
          <w:rFonts w:ascii="Arial" w:hAnsi="Arial" w:cs="Arial"/>
          <w:sz w:val="20"/>
          <w:szCs w:val="20"/>
        </w:rPr>
        <w:t xml:space="preserve">- </w:t>
      </w:r>
      <w:r w:rsidRPr="00443BB6">
        <w:rPr>
          <w:rFonts w:ascii="Arial" w:hAnsi="Arial" w:cs="Arial"/>
          <w:sz w:val="20"/>
          <w:szCs w:val="20"/>
        </w:rPr>
        <w:t xml:space="preserve">Remuneration for part-time </w:t>
      </w:r>
      <w:r>
        <w:rPr>
          <w:rFonts w:ascii="Arial" w:hAnsi="Arial" w:cs="Arial"/>
          <w:sz w:val="20"/>
          <w:szCs w:val="20"/>
        </w:rPr>
        <w:t>members of the Board of Directors: VND 2,500,000/ month</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 Salary </w:t>
      </w:r>
      <w:r>
        <w:rPr>
          <w:rFonts w:ascii="Arial" w:hAnsi="Arial" w:cs="Arial"/>
          <w:sz w:val="20"/>
          <w:szCs w:val="20"/>
        </w:rPr>
        <w:t xml:space="preserve">of </w:t>
      </w:r>
      <w:r w:rsidRPr="00443BB6">
        <w:rPr>
          <w:rFonts w:ascii="Arial" w:hAnsi="Arial" w:cs="Arial"/>
          <w:sz w:val="20"/>
          <w:szCs w:val="20"/>
        </w:rPr>
        <w:t xml:space="preserve">full-time </w:t>
      </w:r>
      <w:r>
        <w:rPr>
          <w:rFonts w:ascii="Arial" w:hAnsi="Arial" w:cs="Arial"/>
          <w:sz w:val="20"/>
          <w:szCs w:val="20"/>
        </w:rPr>
        <w:t>h</w:t>
      </w:r>
      <w:r w:rsidRPr="00443BB6">
        <w:rPr>
          <w:rFonts w:ascii="Arial" w:hAnsi="Arial" w:cs="Arial"/>
          <w:sz w:val="20"/>
          <w:szCs w:val="20"/>
        </w:rPr>
        <w:t xml:space="preserve">ead of </w:t>
      </w:r>
      <w:r>
        <w:rPr>
          <w:rFonts w:ascii="Arial" w:hAnsi="Arial" w:cs="Arial"/>
          <w:sz w:val="20"/>
          <w:szCs w:val="20"/>
        </w:rPr>
        <w:t>the Supervisor Board</w:t>
      </w:r>
      <w:r w:rsidRPr="00443BB6">
        <w:rPr>
          <w:rFonts w:ascii="Arial" w:hAnsi="Arial" w:cs="Arial"/>
          <w:sz w:val="20"/>
          <w:szCs w:val="20"/>
        </w:rPr>
        <w:t xml:space="preserve">: </w:t>
      </w:r>
      <w:r w:rsidRPr="00443BB6">
        <w:rPr>
          <w:rFonts w:ascii="Arial" w:hAnsi="Arial" w:cs="Arial"/>
          <w:sz w:val="20"/>
          <w:szCs w:val="20"/>
        </w:rPr>
        <w:t>VND</w:t>
      </w:r>
      <w:r w:rsidRPr="00443BB6">
        <w:rPr>
          <w:rFonts w:ascii="Arial" w:hAnsi="Arial" w:cs="Arial"/>
          <w:sz w:val="20"/>
          <w:szCs w:val="20"/>
        </w:rPr>
        <w:t xml:space="preserve"> </w:t>
      </w:r>
      <w:r>
        <w:rPr>
          <w:rFonts w:ascii="Arial" w:hAnsi="Arial" w:cs="Arial"/>
          <w:sz w:val="20"/>
          <w:szCs w:val="20"/>
        </w:rPr>
        <w:t>10,000,000/ month</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 </w:t>
      </w:r>
      <w:r>
        <w:rPr>
          <w:rFonts w:ascii="Arial" w:hAnsi="Arial" w:cs="Arial"/>
          <w:sz w:val="20"/>
          <w:szCs w:val="20"/>
        </w:rPr>
        <w:t>Part-time salary of member of the Supervisor Board</w:t>
      </w:r>
      <w:r w:rsidRPr="00443BB6">
        <w:rPr>
          <w:rFonts w:ascii="Arial" w:hAnsi="Arial" w:cs="Arial"/>
          <w:sz w:val="20"/>
          <w:szCs w:val="20"/>
        </w:rPr>
        <w:t>: VND 1,500,000/ mont</w:t>
      </w:r>
      <w:r>
        <w:rPr>
          <w:rFonts w:ascii="Arial" w:hAnsi="Arial" w:cs="Arial"/>
          <w:sz w:val="20"/>
          <w:szCs w:val="20"/>
        </w:rPr>
        <w:t>h</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The total salary and remuneration fund for the Board of Directors and</w:t>
      </w:r>
      <w:r>
        <w:rPr>
          <w:rFonts w:ascii="Arial" w:hAnsi="Arial" w:cs="Arial"/>
          <w:sz w:val="20"/>
          <w:szCs w:val="20"/>
        </w:rPr>
        <w:t xml:space="preserve"> the Supervisory Board in 2020:</w:t>
      </w:r>
      <w:r w:rsidRPr="00443BB6">
        <w:rPr>
          <w:rFonts w:ascii="Arial" w:hAnsi="Arial" w:cs="Arial"/>
          <w:sz w:val="20"/>
          <w:szCs w:val="20"/>
        </w:rPr>
        <w:t xml:space="preserve"> expected </w:t>
      </w:r>
      <w:r>
        <w:rPr>
          <w:rFonts w:ascii="Arial" w:hAnsi="Arial" w:cs="Arial"/>
          <w:sz w:val="20"/>
          <w:szCs w:val="20"/>
        </w:rPr>
        <w:t>VND 456,000,000/ year (in</w:t>
      </w:r>
      <w:r w:rsidRPr="00443BB6">
        <w:rPr>
          <w:rFonts w:ascii="Arial" w:hAnsi="Arial" w:cs="Arial"/>
          <w:sz w:val="20"/>
          <w:szCs w:val="20"/>
        </w:rPr>
        <w:t xml:space="preserve"> which</w:t>
      </w:r>
      <w:r>
        <w:rPr>
          <w:rFonts w:ascii="Arial" w:hAnsi="Arial" w:cs="Arial"/>
          <w:sz w:val="20"/>
          <w:szCs w:val="20"/>
        </w:rPr>
        <w:t>,</w:t>
      </w:r>
      <w:r w:rsidRPr="00443BB6">
        <w:rPr>
          <w:rFonts w:ascii="Arial" w:hAnsi="Arial" w:cs="Arial"/>
          <w:sz w:val="20"/>
          <w:szCs w:val="20"/>
        </w:rPr>
        <w:t xml:space="preserve"> the Boar</w:t>
      </w:r>
      <w:r>
        <w:rPr>
          <w:rFonts w:ascii="Arial" w:hAnsi="Arial" w:cs="Arial"/>
          <w:sz w:val="20"/>
          <w:szCs w:val="20"/>
        </w:rPr>
        <w:t>d of Directors: VND 300,000,000</w:t>
      </w:r>
      <w:r w:rsidRPr="00443BB6">
        <w:rPr>
          <w:rFonts w:ascii="Arial" w:hAnsi="Arial" w:cs="Arial"/>
          <w:sz w:val="20"/>
          <w:szCs w:val="20"/>
        </w:rPr>
        <w:t>/ year; Supe</w:t>
      </w:r>
      <w:r>
        <w:rPr>
          <w:rFonts w:ascii="Arial" w:hAnsi="Arial" w:cs="Arial"/>
          <w:sz w:val="20"/>
          <w:szCs w:val="20"/>
        </w:rPr>
        <w:t>rvisory Board: VND 156,000,000)</w:t>
      </w:r>
    </w:p>
    <w:p w:rsidR="00443BB6"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The </w:t>
      </w:r>
      <w:r>
        <w:rPr>
          <w:rFonts w:ascii="Arial" w:hAnsi="Arial" w:cs="Arial"/>
          <w:sz w:val="20"/>
          <w:szCs w:val="20"/>
        </w:rPr>
        <w:t>annual General Meeting of Shareholders approved the plan on</w:t>
      </w:r>
      <w:r w:rsidRPr="00443BB6">
        <w:rPr>
          <w:rFonts w:ascii="Arial" w:hAnsi="Arial" w:cs="Arial"/>
          <w:sz w:val="20"/>
          <w:szCs w:val="20"/>
        </w:rPr>
        <w:t xml:space="preserve"> salary and remuneration of the Board of Directors and the Supervisory Board in 2020 with the voting rate of 100% of the total voting shares at the Meeting.  The </w:t>
      </w:r>
      <w:r>
        <w:rPr>
          <w:rFonts w:ascii="Arial" w:hAnsi="Arial" w:cs="Arial"/>
          <w:sz w:val="20"/>
          <w:szCs w:val="20"/>
        </w:rPr>
        <w:t>annual General Meeting of Shareholders authorized</w:t>
      </w:r>
      <w:r w:rsidRPr="00443BB6">
        <w:rPr>
          <w:rFonts w:ascii="Arial" w:hAnsi="Arial" w:cs="Arial"/>
          <w:sz w:val="20"/>
          <w:szCs w:val="20"/>
        </w:rPr>
        <w:t xml:space="preserve"> the Board of Directors to adjust the salary and remuneration for the Board of Directors and the Supervisory Board in accordance with the Corporati</w:t>
      </w:r>
      <w:r>
        <w:rPr>
          <w:rFonts w:ascii="Arial" w:hAnsi="Arial" w:cs="Arial"/>
          <w:sz w:val="20"/>
          <w:szCs w:val="20"/>
        </w:rPr>
        <w:t>on's business results in 2020</w:t>
      </w:r>
    </w:p>
    <w:p w:rsidR="00443BB6" w:rsidRDefault="00443BB6" w:rsidP="00443BB6">
      <w:pPr>
        <w:spacing w:line="360" w:lineRule="auto"/>
        <w:jc w:val="both"/>
        <w:rPr>
          <w:rFonts w:ascii="Arial" w:hAnsi="Arial" w:cs="Arial"/>
          <w:sz w:val="20"/>
          <w:szCs w:val="20"/>
        </w:rPr>
      </w:pPr>
      <w:r>
        <w:rPr>
          <w:rFonts w:ascii="Arial" w:hAnsi="Arial" w:cs="Arial"/>
          <w:sz w:val="20"/>
          <w:szCs w:val="20"/>
        </w:rPr>
        <w:t>Article 5:</w:t>
      </w:r>
      <w:r w:rsidRPr="00443BB6">
        <w:rPr>
          <w:rFonts w:ascii="Arial" w:hAnsi="Arial" w:cs="Arial"/>
          <w:sz w:val="20"/>
          <w:szCs w:val="20"/>
        </w:rPr>
        <w:t xml:space="preserve"> Audited financial statement of 2016 </w:t>
      </w:r>
    </w:p>
    <w:p w:rsidR="00171CCD"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The General Meeting of Shareholders did not approve </w:t>
      </w:r>
      <w:r>
        <w:rPr>
          <w:rFonts w:ascii="Arial" w:hAnsi="Arial" w:cs="Arial"/>
          <w:sz w:val="20"/>
          <w:szCs w:val="20"/>
        </w:rPr>
        <w:t>the audited financial statement</w:t>
      </w:r>
      <w:r w:rsidRPr="00443BB6">
        <w:rPr>
          <w:rFonts w:ascii="Arial" w:hAnsi="Arial" w:cs="Arial"/>
          <w:sz w:val="20"/>
          <w:szCs w:val="20"/>
        </w:rPr>
        <w:t xml:space="preserve"> of 2016 because the voting rate only reach</w:t>
      </w:r>
      <w:r>
        <w:rPr>
          <w:rFonts w:ascii="Arial" w:hAnsi="Arial" w:cs="Arial"/>
          <w:sz w:val="20"/>
          <w:szCs w:val="20"/>
        </w:rPr>
        <w:t>ed</w:t>
      </w:r>
      <w:r w:rsidR="00171CCD">
        <w:rPr>
          <w:rFonts w:ascii="Arial" w:hAnsi="Arial" w:cs="Arial"/>
          <w:sz w:val="20"/>
          <w:szCs w:val="20"/>
        </w:rPr>
        <w:t xml:space="preserve"> 1.15% of t</w:t>
      </w:r>
      <w:r w:rsidRPr="00443BB6">
        <w:rPr>
          <w:rFonts w:ascii="Arial" w:hAnsi="Arial" w:cs="Arial"/>
          <w:sz w:val="20"/>
          <w:szCs w:val="20"/>
        </w:rPr>
        <w:t xml:space="preserve">otal </w:t>
      </w:r>
      <w:r w:rsidR="00171CCD">
        <w:rPr>
          <w:rFonts w:ascii="Arial" w:hAnsi="Arial" w:cs="Arial"/>
          <w:sz w:val="20"/>
          <w:szCs w:val="20"/>
        </w:rPr>
        <w:t>voting shares at the Meeting</w:t>
      </w:r>
    </w:p>
    <w:p w:rsidR="00171CCD" w:rsidRDefault="00171CCD" w:rsidP="00443BB6">
      <w:pPr>
        <w:spacing w:line="360" w:lineRule="auto"/>
        <w:jc w:val="both"/>
        <w:rPr>
          <w:rFonts w:ascii="Arial" w:hAnsi="Arial" w:cs="Arial"/>
          <w:sz w:val="20"/>
          <w:szCs w:val="20"/>
        </w:rPr>
      </w:pPr>
      <w:r>
        <w:rPr>
          <w:rFonts w:ascii="Arial" w:hAnsi="Arial" w:cs="Arial"/>
          <w:sz w:val="20"/>
          <w:szCs w:val="20"/>
        </w:rPr>
        <w:t>Article 6: Audited financial statement of</w:t>
      </w:r>
      <w:r w:rsidR="00443BB6" w:rsidRPr="00443BB6">
        <w:rPr>
          <w:rFonts w:ascii="Arial" w:hAnsi="Arial" w:cs="Arial"/>
          <w:sz w:val="20"/>
          <w:szCs w:val="20"/>
        </w:rPr>
        <w:t xml:space="preserve"> 2017 </w:t>
      </w:r>
    </w:p>
    <w:p w:rsidR="00171CCD"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The </w:t>
      </w:r>
      <w:r w:rsidR="00171CCD">
        <w:rPr>
          <w:rFonts w:ascii="Arial" w:hAnsi="Arial" w:cs="Arial"/>
          <w:sz w:val="20"/>
          <w:szCs w:val="20"/>
        </w:rPr>
        <w:t>annual General Meeting of Shareholders</w:t>
      </w:r>
      <w:r w:rsidRPr="00443BB6">
        <w:rPr>
          <w:rFonts w:ascii="Arial" w:hAnsi="Arial" w:cs="Arial"/>
          <w:sz w:val="20"/>
          <w:szCs w:val="20"/>
        </w:rPr>
        <w:t xml:space="preserve"> did not approve </w:t>
      </w:r>
      <w:r w:rsidR="00171CCD">
        <w:rPr>
          <w:rFonts w:ascii="Arial" w:hAnsi="Arial" w:cs="Arial"/>
          <w:sz w:val="20"/>
          <w:szCs w:val="20"/>
        </w:rPr>
        <w:t>the audited financial statement</w:t>
      </w:r>
      <w:r w:rsidRPr="00443BB6">
        <w:rPr>
          <w:rFonts w:ascii="Arial" w:hAnsi="Arial" w:cs="Arial"/>
          <w:sz w:val="20"/>
          <w:szCs w:val="20"/>
        </w:rPr>
        <w:t xml:space="preserve"> of 2017 due to the voting rate of only 1.1</w:t>
      </w:r>
      <w:r w:rsidR="00171CCD">
        <w:rPr>
          <w:rFonts w:ascii="Arial" w:hAnsi="Arial" w:cs="Arial"/>
          <w:sz w:val="20"/>
          <w:szCs w:val="20"/>
        </w:rPr>
        <w:t xml:space="preserve">5% of the total voting shares at the annual General Meeting of Shareholders </w:t>
      </w:r>
    </w:p>
    <w:p w:rsidR="00171CCD" w:rsidRDefault="00171CCD" w:rsidP="00443BB6">
      <w:pPr>
        <w:spacing w:line="360" w:lineRule="auto"/>
        <w:jc w:val="both"/>
        <w:rPr>
          <w:rFonts w:ascii="Arial" w:hAnsi="Arial" w:cs="Arial"/>
          <w:sz w:val="20"/>
          <w:szCs w:val="20"/>
        </w:rPr>
      </w:pPr>
      <w:r>
        <w:rPr>
          <w:rFonts w:ascii="Arial" w:hAnsi="Arial" w:cs="Arial"/>
          <w:sz w:val="20"/>
          <w:szCs w:val="20"/>
        </w:rPr>
        <w:t>Article 7: Audited financial statement of</w:t>
      </w:r>
      <w:r w:rsidR="00443BB6" w:rsidRPr="00443BB6">
        <w:rPr>
          <w:rFonts w:ascii="Arial" w:hAnsi="Arial" w:cs="Arial"/>
          <w:sz w:val="20"/>
          <w:szCs w:val="20"/>
        </w:rPr>
        <w:t xml:space="preserve"> 2018 </w:t>
      </w:r>
    </w:p>
    <w:p w:rsidR="00171CCD"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The </w:t>
      </w:r>
      <w:r w:rsidR="00171CCD">
        <w:rPr>
          <w:rFonts w:ascii="Arial" w:hAnsi="Arial" w:cs="Arial"/>
          <w:sz w:val="20"/>
          <w:szCs w:val="20"/>
        </w:rPr>
        <w:t>annual General Meeting of Shareholders</w:t>
      </w:r>
      <w:r w:rsidRPr="00443BB6">
        <w:rPr>
          <w:rFonts w:ascii="Arial" w:hAnsi="Arial" w:cs="Arial"/>
          <w:sz w:val="20"/>
          <w:szCs w:val="20"/>
        </w:rPr>
        <w:t xml:space="preserve"> did not approve the </w:t>
      </w:r>
      <w:r w:rsidR="00171CCD">
        <w:rPr>
          <w:rFonts w:ascii="Arial" w:hAnsi="Arial" w:cs="Arial"/>
          <w:sz w:val="20"/>
          <w:szCs w:val="20"/>
        </w:rPr>
        <w:t>audited financial statement</w:t>
      </w:r>
      <w:r w:rsidRPr="00443BB6">
        <w:rPr>
          <w:rFonts w:ascii="Arial" w:hAnsi="Arial" w:cs="Arial"/>
          <w:sz w:val="20"/>
          <w:szCs w:val="20"/>
        </w:rPr>
        <w:t xml:space="preserve"> of 2018 because the voting rate only reach</w:t>
      </w:r>
      <w:r w:rsidR="00171CCD">
        <w:rPr>
          <w:rFonts w:ascii="Arial" w:hAnsi="Arial" w:cs="Arial"/>
          <w:sz w:val="20"/>
          <w:szCs w:val="20"/>
        </w:rPr>
        <w:t>ed</w:t>
      </w:r>
      <w:r w:rsidRPr="00443BB6">
        <w:rPr>
          <w:rFonts w:ascii="Arial" w:hAnsi="Arial" w:cs="Arial"/>
          <w:sz w:val="20"/>
          <w:szCs w:val="20"/>
        </w:rPr>
        <w:t xml:space="preserve"> 1.15% of the total voting shares</w:t>
      </w:r>
      <w:r w:rsidR="00171CCD">
        <w:rPr>
          <w:rFonts w:ascii="Arial" w:hAnsi="Arial" w:cs="Arial"/>
          <w:sz w:val="20"/>
          <w:szCs w:val="20"/>
        </w:rPr>
        <w:t xml:space="preserve"> at the annual General Meeting of Shareholders </w:t>
      </w:r>
    </w:p>
    <w:p w:rsidR="00171CCD" w:rsidRDefault="00171CCD" w:rsidP="00443BB6">
      <w:pPr>
        <w:spacing w:line="360" w:lineRule="auto"/>
        <w:jc w:val="both"/>
        <w:rPr>
          <w:rFonts w:ascii="Arial" w:hAnsi="Arial" w:cs="Arial"/>
          <w:sz w:val="20"/>
          <w:szCs w:val="20"/>
        </w:rPr>
      </w:pPr>
      <w:r>
        <w:rPr>
          <w:rFonts w:ascii="Arial" w:hAnsi="Arial" w:cs="Arial"/>
          <w:sz w:val="20"/>
          <w:szCs w:val="20"/>
        </w:rPr>
        <w:t xml:space="preserve">Article 8: </w:t>
      </w:r>
      <w:r w:rsidR="00443BB6" w:rsidRPr="00443BB6">
        <w:rPr>
          <w:rFonts w:ascii="Arial" w:hAnsi="Arial" w:cs="Arial"/>
          <w:sz w:val="20"/>
          <w:szCs w:val="20"/>
        </w:rPr>
        <w:t xml:space="preserve">Audited </w:t>
      </w:r>
      <w:r>
        <w:rPr>
          <w:rFonts w:ascii="Arial" w:hAnsi="Arial" w:cs="Arial"/>
          <w:sz w:val="20"/>
          <w:szCs w:val="20"/>
        </w:rPr>
        <w:t>financial statement of</w:t>
      </w:r>
      <w:r w:rsidR="00443BB6" w:rsidRPr="00443BB6">
        <w:rPr>
          <w:rFonts w:ascii="Arial" w:hAnsi="Arial" w:cs="Arial"/>
          <w:sz w:val="20"/>
          <w:szCs w:val="20"/>
        </w:rPr>
        <w:t xml:space="preserve"> 2019 </w:t>
      </w:r>
    </w:p>
    <w:p w:rsidR="00171CCD"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The </w:t>
      </w:r>
      <w:r w:rsidR="00171CCD">
        <w:rPr>
          <w:rFonts w:ascii="Arial" w:hAnsi="Arial" w:cs="Arial"/>
          <w:sz w:val="20"/>
          <w:szCs w:val="20"/>
        </w:rPr>
        <w:t>annual General Meeting of Shareholders</w:t>
      </w:r>
      <w:r w:rsidRPr="00443BB6">
        <w:rPr>
          <w:rFonts w:ascii="Arial" w:hAnsi="Arial" w:cs="Arial"/>
          <w:sz w:val="20"/>
          <w:szCs w:val="20"/>
        </w:rPr>
        <w:t xml:space="preserve"> did not approve the audited f</w:t>
      </w:r>
      <w:r w:rsidR="00171CCD">
        <w:rPr>
          <w:rFonts w:ascii="Arial" w:hAnsi="Arial" w:cs="Arial"/>
          <w:sz w:val="20"/>
          <w:szCs w:val="20"/>
        </w:rPr>
        <w:t>inancial statement</w:t>
      </w:r>
      <w:r w:rsidRPr="00443BB6">
        <w:rPr>
          <w:rFonts w:ascii="Arial" w:hAnsi="Arial" w:cs="Arial"/>
          <w:sz w:val="20"/>
          <w:szCs w:val="20"/>
        </w:rPr>
        <w:t xml:space="preserve"> of 2019 because the voting rate was only 1.1</w:t>
      </w:r>
      <w:r w:rsidR="00171CCD">
        <w:rPr>
          <w:rFonts w:ascii="Arial" w:hAnsi="Arial" w:cs="Arial"/>
          <w:sz w:val="20"/>
          <w:szCs w:val="20"/>
        </w:rPr>
        <w:t xml:space="preserve">5% of the total voting shares at the annual General Meeting of Shareholders </w:t>
      </w:r>
    </w:p>
    <w:p w:rsidR="00171CCD" w:rsidRDefault="00171CCD" w:rsidP="00443BB6">
      <w:pPr>
        <w:spacing w:line="360" w:lineRule="auto"/>
        <w:jc w:val="both"/>
        <w:rPr>
          <w:rFonts w:ascii="Arial" w:hAnsi="Arial" w:cs="Arial"/>
          <w:sz w:val="20"/>
          <w:szCs w:val="20"/>
        </w:rPr>
      </w:pPr>
      <w:r>
        <w:rPr>
          <w:rFonts w:ascii="Arial" w:hAnsi="Arial" w:cs="Arial"/>
          <w:sz w:val="20"/>
          <w:szCs w:val="20"/>
        </w:rPr>
        <w:lastRenderedPageBreak/>
        <w:t>Article 9:</w:t>
      </w:r>
      <w:r w:rsidR="00443BB6" w:rsidRPr="00443BB6">
        <w:rPr>
          <w:rFonts w:ascii="Arial" w:hAnsi="Arial" w:cs="Arial"/>
          <w:sz w:val="20"/>
          <w:szCs w:val="20"/>
        </w:rPr>
        <w:t xml:space="preserve"> Approving the plan for profit distribution in 2019 </w:t>
      </w:r>
    </w:p>
    <w:p w:rsidR="00171CCD"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According to the 2019 </w:t>
      </w:r>
      <w:r w:rsidR="00171CCD">
        <w:rPr>
          <w:rFonts w:ascii="Arial" w:hAnsi="Arial" w:cs="Arial"/>
          <w:sz w:val="20"/>
          <w:szCs w:val="20"/>
        </w:rPr>
        <w:t>financial statement</w:t>
      </w:r>
      <w:r w:rsidRPr="00443BB6">
        <w:rPr>
          <w:rFonts w:ascii="Arial" w:hAnsi="Arial" w:cs="Arial"/>
          <w:sz w:val="20"/>
          <w:szCs w:val="20"/>
        </w:rPr>
        <w:t xml:space="preserve"> of </w:t>
      </w:r>
      <w:proofErr w:type="spellStart"/>
      <w:r w:rsidR="00171CCD" w:rsidRPr="00171CCD">
        <w:rPr>
          <w:rFonts w:ascii="Arial" w:hAnsi="Arial" w:cs="Arial"/>
          <w:sz w:val="20"/>
          <w:szCs w:val="20"/>
        </w:rPr>
        <w:t>PetroVietnam</w:t>
      </w:r>
      <w:proofErr w:type="spellEnd"/>
      <w:r w:rsidR="00171CCD" w:rsidRPr="00171CCD">
        <w:rPr>
          <w:rFonts w:ascii="Arial" w:hAnsi="Arial" w:cs="Arial"/>
          <w:sz w:val="20"/>
          <w:szCs w:val="20"/>
        </w:rPr>
        <w:t xml:space="preserve"> </w:t>
      </w:r>
      <w:proofErr w:type="spellStart"/>
      <w:r w:rsidR="00171CCD" w:rsidRPr="00171CCD">
        <w:rPr>
          <w:rFonts w:ascii="Arial" w:hAnsi="Arial" w:cs="Arial"/>
          <w:sz w:val="20"/>
          <w:szCs w:val="20"/>
        </w:rPr>
        <w:t>Nghe</w:t>
      </w:r>
      <w:proofErr w:type="spellEnd"/>
      <w:r w:rsidR="00171CCD" w:rsidRPr="00171CCD">
        <w:rPr>
          <w:rFonts w:ascii="Arial" w:hAnsi="Arial" w:cs="Arial"/>
          <w:sz w:val="20"/>
          <w:szCs w:val="20"/>
        </w:rPr>
        <w:t xml:space="preserve"> </w:t>
      </w:r>
      <w:proofErr w:type="gramStart"/>
      <w:r w:rsidR="00171CCD" w:rsidRPr="00171CCD">
        <w:rPr>
          <w:rFonts w:ascii="Arial" w:hAnsi="Arial" w:cs="Arial"/>
          <w:sz w:val="20"/>
          <w:szCs w:val="20"/>
        </w:rPr>
        <w:t>An</w:t>
      </w:r>
      <w:proofErr w:type="gramEnd"/>
      <w:r w:rsidR="00171CCD" w:rsidRPr="00171CCD">
        <w:rPr>
          <w:rFonts w:ascii="Arial" w:hAnsi="Arial" w:cs="Arial"/>
          <w:sz w:val="20"/>
          <w:szCs w:val="20"/>
        </w:rPr>
        <w:t xml:space="preserve"> Construction JSC</w:t>
      </w:r>
      <w:r w:rsidR="00171CCD">
        <w:rPr>
          <w:rFonts w:ascii="Arial" w:hAnsi="Arial" w:cs="Arial"/>
          <w:sz w:val="20"/>
          <w:szCs w:val="20"/>
        </w:rPr>
        <w:t xml:space="preserve"> audited by</w:t>
      </w:r>
      <w:r w:rsidRPr="00443BB6">
        <w:rPr>
          <w:rFonts w:ascii="Arial" w:hAnsi="Arial" w:cs="Arial"/>
          <w:sz w:val="20"/>
          <w:szCs w:val="20"/>
        </w:rPr>
        <w:t xml:space="preserve"> </w:t>
      </w:r>
      <w:proofErr w:type="spellStart"/>
      <w:r w:rsidR="00171CCD">
        <w:rPr>
          <w:rFonts w:ascii="Arial" w:hAnsi="Arial" w:cs="Arial"/>
          <w:sz w:val="20"/>
          <w:szCs w:val="20"/>
        </w:rPr>
        <w:t>Vietland</w:t>
      </w:r>
      <w:proofErr w:type="spellEnd"/>
      <w:r w:rsidRPr="00443BB6">
        <w:rPr>
          <w:rFonts w:ascii="Arial" w:hAnsi="Arial" w:cs="Arial"/>
          <w:sz w:val="20"/>
          <w:szCs w:val="20"/>
        </w:rPr>
        <w:t xml:space="preserve"> Auditing </w:t>
      </w:r>
      <w:r w:rsidR="00171CCD">
        <w:rPr>
          <w:rFonts w:ascii="Arial" w:hAnsi="Arial" w:cs="Arial"/>
          <w:sz w:val="20"/>
          <w:szCs w:val="20"/>
        </w:rPr>
        <w:t xml:space="preserve">and Consulting Co., Ltd. – Ha </w:t>
      </w:r>
      <w:proofErr w:type="spellStart"/>
      <w:r w:rsidR="00171CCD">
        <w:rPr>
          <w:rFonts w:ascii="Arial" w:hAnsi="Arial" w:cs="Arial"/>
          <w:sz w:val="20"/>
          <w:szCs w:val="20"/>
        </w:rPr>
        <w:t>Noi</w:t>
      </w:r>
      <w:proofErr w:type="spellEnd"/>
      <w:r w:rsidRPr="00443BB6">
        <w:rPr>
          <w:rFonts w:ascii="Arial" w:hAnsi="Arial" w:cs="Arial"/>
          <w:sz w:val="20"/>
          <w:szCs w:val="20"/>
        </w:rPr>
        <w:t xml:space="preserve"> Branch </w:t>
      </w:r>
    </w:p>
    <w:p w:rsidR="00171CCD" w:rsidRDefault="00171CCD" w:rsidP="00443BB6">
      <w:pPr>
        <w:spacing w:line="360" w:lineRule="auto"/>
        <w:jc w:val="both"/>
        <w:rPr>
          <w:rFonts w:ascii="Arial" w:hAnsi="Arial" w:cs="Arial"/>
          <w:sz w:val="20"/>
          <w:szCs w:val="20"/>
        </w:rPr>
      </w:pPr>
      <w:r>
        <w:rPr>
          <w:rFonts w:ascii="Arial" w:hAnsi="Arial" w:cs="Arial"/>
          <w:sz w:val="20"/>
          <w:szCs w:val="20"/>
        </w:rPr>
        <w:t xml:space="preserve">- </w:t>
      </w:r>
      <w:r w:rsidR="00443BB6" w:rsidRPr="00443BB6">
        <w:rPr>
          <w:rFonts w:ascii="Arial" w:hAnsi="Arial" w:cs="Arial"/>
          <w:sz w:val="20"/>
          <w:szCs w:val="20"/>
        </w:rPr>
        <w:t xml:space="preserve">Revenue: </w:t>
      </w:r>
      <w:r>
        <w:rPr>
          <w:rFonts w:ascii="Arial" w:hAnsi="Arial" w:cs="Arial"/>
          <w:sz w:val="20"/>
          <w:szCs w:val="20"/>
        </w:rPr>
        <w:t xml:space="preserve">VND </w:t>
      </w:r>
      <w:r w:rsidR="00443BB6" w:rsidRPr="00443BB6">
        <w:rPr>
          <w:rFonts w:ascii="Arial" w:hAnsi="Arial" w:cs="Arial"/>
          <w:sz w:val="20"/>
          <w:szCs w:val="20"/>
        </w:rPr>
        <w:t xml:space="preserve">1,123,336,646 </w:t>
      </w:r>
    </w:p>
    <w:p w:rsidR="00171CCD" w:rsidRDefault="00443BB6" w:rsidP="00443BB6">
      <w:pPr>
        <w:spacing w:line="360" w:lineRule="auto"/>
        <w:jc w:val="both"/>
        <w:rPr>
          <w:rFonts w:ascii="Arial" w:hAnsi="Arial" w:cs="Arial"/>
          <w:sz w:val="20"/>
          <w:szCs w:val="20"/>
        </w:rPr>
      </w:pPr>
      <w:r w:rsidRPr="00443BB6">
        <w:rPr>
          <w:rFonts w:ascii="Arial" w:hAnsi="Arial" w:cs="Arial"/>
          <w:sz w:val="20"/>
          <w:szCs w:val="20"/>
        </w:rPr>
        <w:t xml:space="preserve">- Profit before tax: </w:t>
      </w:r>
      <w:r w:rsidR="00171CCD" w:rsidRPr="00443BB6">
        <w:rPr>
          <w:rFonts w:ascii="Arial" w:hAnsi="Arial" w:cs="Arial"/>
          <w:sz w:val="20"/>
          <w:szCs w:val="20"/>
        </w:rPr>
        <w:t>VND</w:t>
      </w:r>
      <w:r w:rsidR="00171CCD" w:rsidRPr="00443BB6">
        <w:rPr>
          <w:rFonts w:ascii="Arial" w:hAnsi="Arial" w:cs="Arial"/>
          <w:sz w:val="20"/>
          <w:szCs w:val="20"/>
        </w:rPr>
        <w:t xml:space="preserve"> </w:t>
      </w:r>
      <w:r w:rsidRPr="00443BB6">
        <w:rPr>
          <w:rFonts w:ascii="Arial" w:hAnsi="Arial" w:cs="Arial"/>
          <w:sz w:val="20"/>
          <w:szCs w:val="20"/>
        </w:rPr>
        <w:t xml:space="preserve">(1,324,558,931) </w:t>
      </w:r>
    </w:p>
    <w:p w:rsidR="00171CCD" w:rsidRDefault="00171CCD" w:rsidP="00443BB6">
      <w:pPr>
        <w:spacing w:line="360" w:lineRule="auto"/>
        <w:jc w:val="both"/>
        <w:rPr>
          <w:rFonts w:ascii="Arial" w:hAnsi="Arial" w:cs="Arial"/>
          <w:sz w:val="20"/>
          <w:szCs w:val="20"/>
        </w:rPr>
      </w:pPr>
      <w:r>
        <w:rPr>
          <w:rFonts w:ascii="Arial" w:hAnsi="Arial" w:cs="Arial"/>
          <w:sz w:val="20"/>
          <w:szCs w:val="20"/>
        </w:rPr>
        <w:t xml:space="preserve">- </w:t>
      </w:r>
      <w:r w:rsidR="00443BB6" w:rsidRPr="00443BB6">
        <w:rPr>
          <w:rFonts w:ascii="Arial" w:hAnsi="Arial" w:cs="Arial"/>
          <w:sz w:val="20"/>
          <w:szCs w:val="20"/>
        </w:rPr>
        <w:t xml:space="preserve">Profit after tax: </w:t>
      </w:r>
      <w:r>
        <w:rPr>
          <w:rFonts w:ascii="Arial" w:hAnsi="Arial" w:cs="Arial"/>
          <w:sz w:val="20"/>
          <w:szCs w:val="20"/>
        </w:rPr>
        <w:t xml:space="preserve">VND </w:t>
      </w:r>
      <w:r w:rsidR="00443BB6" w:rsidRPr="00443BB6">
        <w:rPr>
          <w:rFonts w:ascii="Arial" w:hAnsi="Arial" w:cs="Arial"/>
          <w:sz w:val="20"/>
          <w:szCs w:val="20"/>
        </w:rPr>
        <w:t xml:space="preserve">(1,329,884,730) </w:t>
      </w:r>
    </w:p>
    <w:p w:rsidR="00171CCD" w:rsidRDefault="00171CCD" w:rsidP="00443BB6">
      <w:pPr>
        <w:spacing w:line="360" w:lineRule="auto"/>
        <w:jc w:val="both"/>
        <w:rPr>
          <w:rFonts w:ascii="Arial" w:hAnsi="Arial" w:cs="Arial"/>
          <w:sz w:val="20"/>
          <w:szCs w:val="20"/>
        </w:rPr>
      </w:pPr>
      <w:r>
        <w:rPr>
          <w:rFonts w:ascii="Arial" w:hAnsi="Arial" w:cs="Arial"/>
          <w:sz w:val="20"/>
          <w:szCs w:val="20"/>
        </w:rPr>
        <w:t>- A</w:t>
      </w:r>
      <w:r w:rsidRPr="00443BB6">
        <w:rPr>
          <w:rFonts w:ascii="Arial" w:hAnsi="Arial" w:cs="Arial"/>
          <w:sz w:val="20"/>
          <w:szCs w:val="20"/>
        </w:rPr>
        <w:t xml:space="preserve">ccumulated </w:t>
      </w:r>
      <w:r>
        <w:rPr>
          <w:rFonts w:ascii="Arial" w:hAnsi="Arial" w:cs="Arial"/>
          <w:sz w:val="20"/>
          <w:szCs w:val="20"/>
        </w:rPr>
        <w:t xml:space="preserve">profit after tax </w:t>
      </w:r>
      <w:r w:rsidR="00443BB6" w:rsidRPr="00443BB6">
        <w:rPr>
          <w:rFonts w:ascii="Arial" w:hAnsi="Arial" w:cs="Arial"/>
          <w:sz w:val="20"/>
          <w:szCs w:val="20"/>
        </w:rPr>
        <w:t>(</w:t>
      </w:r>
      <w:r>
        <w:rPr>
          <w:rFonts w:ascii="Arial" w:hAnsi="Arial" w:cs="Arial"/>
          <w:sz w:val="20"/>
          <w:szCs w:val="20"/>
        </w:rPr>
        <w:t>on December 31, 2019</w:t>
      </w:r>
      <w:r w:rsidR="00443BB6" w:rsidRPr="00443BB6">
        <w:rPr>
          <w:rFonts w:ascii="Arial" w:hAnsi="Arial" w:cs="Arial"/>
          <w:sz w:val="20"/>
          <w:szCs w:val="20"/>
        </w:rPr>
        <w:t>)</w:t>
      </w:r>
      <w:r>
        <w:rPr>
          <w:rFonts w:ascii="Arial" w:hAnsi="Arial" w:cs="Arial"/>
          <w:sz w:val="20"/>
          <w:szCs w:val="20"/>
        </w:rPr>
        <w:t>:</w:t>
      </w:r>
      <w:r w:rsidR="00443BB6" w:rsidRPr="00443BB6">
        <w:rPr>
          <w:rFonts w:ascii="Arial" w:hAnsi="Arial" w:cs="Arial"/>
          <w:sz w:val="20"/>
          <w:szCs w:val="20"/>
        </w:rPr>
        <w:t xml:space="preserve"> </w:t>
      </w:r>
      <w:r w:rsidRPr="00443BB6">
        <w:rPr>
          <w:rFonts w:ascii="Arial" w:hAnsi="Arial" w:cs="Arial"/>
          <w:sz w:val="20"/>
          <w:szCs w:val="20"/>
        </w:rPr>
        <w:t>VND</w:t>
      </w:r>
      <w:r w:rsidRPr="00443BB6">
        <w:rPr>
          <w:rFonts w:ascii="Arial" w:hAnsi="Arial" w:cs="Arial"/>
          <w:sz w:val="20"/>
          <w:szCs w:val="20"/>
        </w:rPr>
        <w:t xml:space="preserve"> </w:t>
      </w:r>
      <w:r w:rsidR="00443BB6" w:rsidRPr="00443BB6">
        <w:rPr>
          <w:rFonts w:ascii="Arial" w:hAnsi="Arial" w:cs="Arial"/>
          <w:sz w:val="20"/>
          <w:szCs w:val="20"/>
        </w:rPr>
        <w:t xml:space="preserve">-279,912,916,101  </w:t>
      </w:r>
    </w:p>
    <w:p w:rsidR="00443BB6" w:rsidRDefault="00171CCD" w:rsidP="00443BB6">
      <w:pPr>
        <w:spacing w:line="360" w:lineRule="auto"/>
        <w:jc w:val="both"/>
        <w:rPr>
          <w:rFonts w:ascii="Arial" w:hAnsi="Arial" w:cs="Arial"/>
          <w:sz w:val="20"/>
          <w:szCs w:val="20"/>
        </w:rPr>
      </w:pPr>
      <w:r>
        <w:rPr>
          <w:rFonts w:ascii="Arial" w:hAnsi="Arial" w:cs="Arial"/>
          <w:sz w:val="20"/>
          <w:szCs w:val="20"/>
        </w:rPr>
        <w:t>Because</w:t>
      </w:r>
      <w:r w:rsidR="00443BB6" w:rsidRPr="00443BB6">
        <w:rPr>
          <w:rFonts w:ascii="Arial" w:hAnsi="Arial" w:cs="Arial"/>
          <w:sz w:val="20"/>
          <w:szCs w:val="20"/>
        </w:rPr>
        <w:t xml:space="preserve"> the accumulated loss at the end of the previ</w:t>
      </w:r>
      <w:r>
        <w:rPr>
          <w:rFonts w:ascii="Arial" w:hAnsi="Arial" w:cs="Arial"/>
          <w:sz w:val="20"/>
          <w:szCs w:val="20"/>
        </w:rPr>
        <w:t>ous period (December 31, 2018) was VND 278,583,031,371; The b</w:t>
      </w:r>
      <w:r w:rsidR="00443BB6" w:rsidRPr="00443BB6">
        <w:rPr>
          <w:rFonts w:ascii="Arial" w:hAnsi="Arial" w:cs="Arial"/>
          <w:sz w:val="20"/>
          <w:szCs w:val="20"/>
        </w:rPr>
        <w:t>usiness i</w:t>
      </w:r>
      <w:r>
        <w:rPr>
          <w:rFonts w:ascii="Arial" w:hAnsi="Arial" w:cs="Arial"/>
          <w:sz w:val="20"/>
          <w:szCs w:val="20"/>
        </w:rPr>
        <w:t>n 2019 lost VND 1,329,884,730. Therefore, the Corporation had</w:t>
      </w:r>
      <w:r w:rsidR="00443BB6" w:rsidRPr="00443BB6">
        <w:rPr>
          <w:rFonts w:ascii="Arial" w:hAnsi="Arial" w:cs="Arial"/>
          <w:sz w:val="20"/>
          <w:szCs w:val="20"/>
        </w:rPr>
        <w:t xml:space="preserve"> no profit t</w:t>
      </w:r>
      <w:r>
        <w:rPr>
          <w:rFonts w:ascii="Arial" w:hAnsi="Arial" w:cs="Arial"/>
          <w:sz w:val="20"/>
          <w:szCs w:val="20"/>
        </w:rPr>
        <w:t>o make dividend payment in 2019</w:t>
      </w:r>
    </w:p>
    <w:p w:rsidR="00171CCD" w:rsidRDefault="00171CCD" w:rsidP="00443BB6">
      <w:pPr>
        <w:spacing w:line="360" w:lineRule="auto"/>
        <w:jc w:val="both"/>
        <w:rPr>
          <w:rFonts w:ascii="Arial" w:hAnsi="Arial" w:cs="Arial"/>
          <w:sz w:val="20"/>
          <w:szCs w:val="20"/>
        </w:rPr>
      </w:pPr>
      <w:r w:rsidRPr="00171CCD">
        <w:rPr>
          <w:rFonts w:ascii="Arial" w:hAnsi="Arial" w:cs="Arial"/>
          <w:sz w:val="20"/>
          <w:szCs w:val="20"/>
        </w:rPr>
        <w:t xml:space="preserve">The </w:t>
      </w:r>
      <w:r>
        <w:rPr>
          <w:rFonts w:ascii="Arial" w:hAnsi="Arial" w:cs="Arial"/>
          <w:sz w:val="20"/>
          <w:szCs w:val="20"/>
        </w:rPr>
        <w:t>annual General Meeting of Shareholders</w:t>
      </w:r>
      <w:r w:rsidRPr="00171CCD">
        <w:rPr>
          <w:rFonts w:ascii="Arial" w:hAnsi="Arial" w:cs="Arial"/>
          <w:sz w:val="20"/>
          <w:szCs w:val="20"/>
        </w:rPr>
        <w:t xml:space="preserve"> did not approve the plan for profit distribution in 2019 because the voting rate </w:t>
      </w:r>
      <w:r>
        <w:rPr>
          <w:rFonts w:ascii="Arial" w:hAnsi="Arial" w:cs="Arial"/>
          <w:sz w:val="20"/>
          <w:szCs w:val="20"/>
        </w:rPr>
        <w:t xml:space="preserve">was </w:t>
      </w:r>
      <w:r w:rsidRPr="00171CCD">
        <w:rPr>
          <w:rFonts w:ascii="Arial" w:hAnsi="Arial" w:cs="Arial"/>
          <w:sz w:val="20"/>
          <w:szCs w:val="20"/>
        </w:rPr>
        <w:t>1.15% of the tota</w:t>
      </w:r>
      <w:r>
        <w:rPr>
          <w:rFonts w:ascii="Arial" w:hAnsi="Arial" w:cs="Arial"/>
          <w:sz w:val="20"/>
          <w:szCs w:val="20"/>
        </w:rPr>
        <w:t>l voting shares at the Meeting</w:t>
      </w:r>
    </w:p>
    <w:p w:rsidR="00171CCD" w:rsidRDefault="00171CCD" w:rsidP="00443BB6">
      <w:pPr>
        <w:spacing w:line="360" w:lineRule="auto"/>
        <w:jc w:val="both"/>
        <w:rPr>
          <w:rFonts w:ascii="Arial" w:hAnsi="Arial" w:cs="Arial"/>
          <w:sz w:val="20"/>
          <w:szCs w:val="20"/>
        </w:rPr>
      </w:pPr>
      <w:r>
        <w:rPr>
          <w:rFonts w:ascii="Arial" w:hAnsi="Arial" w:cs="Arial"/>
          <w:sz w:val="20"/>
          <w:szCs w:val="20"/>
        </w:rPr>
        <w:t>Article 9:</w:t>
      </w:r>
      <w:r w:rsidRPr="00171CCD">
        <w:rPr>
          <w:rFonts w:ascii="Arial" w:hAnsi="Arial" w:cs="Arial"/>
          <w:sz w:val="20"/>
          <w:szCs w:val="20"/>
        </w:rPr>
        <w:t xml:space="preserve"> Approving the selection of the financial auditing company in 2020: </w:t>
      </w:r>
    </w:p>
    <w:p w:rsidR="00171CCD" w:rsidRDefault="00171CCD" w:rsidP="00443BB6">
      <w:pPr>
        <w:spacing w:line="360" w:lineRule="auto"/>
        <w:jc w:val="both"/>
        <w:rPr>
          <w:rFonts w:ascii="Arial" w:hAnsi="Arial" w:cs="Arial"/>
          <w:sz w:val="20"/>
          <w:szCs w:val="20"/>
        </w:rPr>
      </w:pPr>
      <w:r w:rsidRPr="00171CCD">
        <w:rPr>
          <w:rFonts w:ascii="Arial" w:hAnsi="Arial" w:cs="Arial"/>
          <w:sz w:val="20"/>
          <w:szCs w:val="20"/>
        </w:rPr>
        <w:t xml:space="preserve">The </w:t>
      </w:r>
      <w:r>
        <w:rPr>
          <w:rFonts w:ascii="Arial" w:hAnsi="Arial" w:cs="Arial"/>
          <w:sz w:val="20"/>
          <w:szCs w:val="20"/>
        </w:rPr>
        <w:t xml:space="preserve">annual General Meeting of Shareholders </w:t>
      </w:r>
      <w:r w:rsidRPr="00171CCD">
        <w:rPr>
          <w:rFonts w:ascii="Arial" w:hAnsi="Arial" w:cs="Arial"/>
          <w:sz w:val="20"/>
          <w:szCs w:val="20"/>
        </w:rPr>
        <w:t>approve</w:t>
      </w:r>
      <w:r>
        <w:rPr>
          <w:rFonts w:ascii="Arial" w:hAnsi="Arial" w:cs="Arial"/>
          <w:sz w:val="20"/>
          <w:szCs w:val="20"/>
        </w:rPr>
        <w:t>d</w:t>
      </w:r>
      <w:r w:rsidRPr="00171CCD">
        <w:rPr>
          <w:rFonts w:ascii="Arial" w:hAnsi="Arial" w:cs="Arial"/>
          <w:sz w:val="20"/>
          <w:szCs w:val="20"/>
        </w:rPr>
        <w:t xml:space="preserve"> with voting rate of 100% of the total voting shares at the </w:t>
      </w:r>
      <w:r>
        <w:rPr>
          <w:rFonts w:ascii="Arial" w:hAnsi="Arial" w:cs="Arial"/>
          <w:sz w:val="20"/>
          <w:szCs w:val="20"/>
        </w:rPr>
        <w:t>annual General Meeting of Shareholders the list of auditors for financial statement of 2020 including</w:t>
      </w:r>
      <w:r w:rsidRPr="00171CCD">
        <w:rPr>
          <w:rFonts w:ascii="Arial" w:hAnsi="Arial" w:cs="Arial"/>
          <w:sz w:val="20"/>
          <w:szCs w:val="20"/>
        </w:rPr>
        <w:t xml:space="preserve"> one of the following two units: </w:t>
      </w:r>
    </w:p>
    <w:p w:rsidR="00171CCD" w:rsidRDefault="00171CCD" w:rsidP="00443BB6">
      <w:pPr>
        <w:spacing w:line="360" w:lineRule="auto"/>
        <w:jc w:val="both"/>
        <w:rPr>
          <w:rFonts w:ascii="Arial" w:hAnsi="Arial" w:cs="Arial"/>
          <w:sz w:val="20"/>
          <w:szCs w:val="20"/>
        </w:rPr>
      </w:pPr>
      <w:r w:rsidRPr="00171CCD">
        <w:rPr>
          <w:rFonts w:ascii="Arial" w:hAnsi="Arial" w:cs="Arial"/>
          <w:sz w:val="20"/>
          <w:szCs w:val="20"/>
        </w:rPr>
        <w:t xml:space="preserve">1) International Auditing </w:t>
      </w:r>
      <w:r>
        <w:rPr>
          <w:rFonts w:ascii="Arial" w:hAnsi="Arial" w:cs="Arial"/>
          <w:sz w:val="20"/>
          <w:szCs w:val="20"/>
        </w:rPr>
        <w:t>Co., Ltd (</w:t>
      </w:r>
      <w:proofErr w:type="spellStart"/>
      <w:r>
        <w:rPr>
          <w:rFonts w:ascii="Arial" w:hAnsi="Arial" w:cs="Arial"/>
          <w:sz w:val="20"/>
          <w:szCs w:val="20"/>
        </w:rPr>
        <w:t>iCPA</w:t>
      </w:r>
      <w:proofErr w:type="spellEnd"/>
      <w:r>
        <w:rPr>
          <w:rFonts w:ascii="Arial" w:hAnsi="Arial" w:cs="Arial"/>
          <w:sz w:val="20"/>
          <w:szCs w:val="20"/>
        </w:rPr>
        <w:t>)</w:t>
      </w:r>
    </w:p>
    <w:p w:rsidR="00171CCD" w:rsidRDefault="00171CCD" w:rsidP="00443BB6">
      <w:pPr>
        <w:spacing w:line="360" w:lineRule="auto"/>
        <w:jc w:val="both"/>
        <w:rPr>
          <w:rFonts w:ascii="Arial" w:hAnsi="Arial" w:cs="Arial"/>
          <w:sz w:val="20"/>
          <w:szCs w:val="20"/>
        </w:rPr>
      </w:pPr>
      <w:r w:rsidRPr="00171CCD">
        <w:rPr>
          <w:rFonts w:ascii="Arial" w:hAnsi="Arial" w:cs="Arial"/>
          <w:sz w:val="20"/>
          <w:szCs w:val="20"/>
        </w:rPr>
        <w:t xml:space="preserve">Address: 15th Floor, Center </w:t>
      </w:r>
      <w:proofErr w:type="spellStart"/>
      <w:r w:rsidRPr="00171CCD">
        <w:rPr>
          <w:rFonts w:ascii="Arial" w:hAnsi="Arial" w:cs="Arial"/>
          <w:sz w:val="20"/>
          <w:szCs w:val="20"/>
        </w:rPr>
        <w:t>Buiding</w:t>
      </w:r>
      <w:proofErr w:type="spellEnd"/>
      <w:r w:rsidRPr="00171CCD">
        <w:rPr>
          <w:rFonts w:ascii="Arial" w:hAnsi="Arial" w:cs="Arial"/>
          <w:sz w:val="20"/>
          <w:szCs w:val="20"/>
        </w:rPr>
        <w:t xml:space="preserve"> Building: </w:t>
      </w:r>
      <w:proofErr w:type="spellStart"/>
      <w:r w:rsidRPr="00171CCD">
        <w:rPr>
          <w:rFonts w:ascii="Arial" w:hAnsi="Arial" w:cs="Arial"/>
          <w:sz w:val="20"/>
          <w:szCs w:val="20"/>
        </w:rPr>
        <w:t>Hapulico</w:t>
      </w:r>
      <w:proofErr w:type="spellEnd"/>
      <w:r w:rsidRPr="00171CCD">
        <w:rPr>
          <w:rFonts w:ascii="Arial" w:hAnsi="Arial" w:cs="Arial"/>
          <w:sz w:val="20"/>
          <w:szCs w:val="20"/>
        </w:rPr>
        <w:t xml:space="preserve"> Complex, No. 01, Nguyen </w:t>
      </w:r>
      <w:proofErr w:type="spellStart"/>
      <w:r w:rsidRPr="00171CCD">
        <w:rPr>
          <w:rFonts w:ascii="Arial" w:hAnsi="Arial" w:cs="Arial"/>
          <w:sz w:val="20"/>
          <w:szCs w:val="20"/>
        </w:rPr>
        <w:t>Huy</w:t>
      </w:r>
      <w:proofErr w:type="spellEnd"/>
      <w:r w:rsidRPr="00171CCD">
        <w:rPr>
          <w:rFonts w:ascii="Arial" w:hAnsi="Arial" w:cs="Arial"/>
          <w:sz w:val="20"/>
          <w:szCs w:val="20"/>
        </w:rPr>
        <w:t xml:space="preserve"> </w:t>
      </w:r>
      <w:proofErr w:type="spellStart"/>
      <w:r w:rsidRPr="00171CCD">
        <w:rPr>
          <w:rFonts w:ascii="Arial" w:hAnsi="Arial" w:cs="Arial"/>
          <w:sz w:val="20"/>
          <w:szCs w:val="20"/>
        </w:rPr>
        <w:t>Tu</w:t>
      </w:r>
      <w:r>
        <w:rPr>
          <w:rFonts w:ascii="Arial" w:hAnsi="Arial" w:cs="Arial"/>
          <w:sz w:val="20"/>
          <w:szCs w:val="20"/>
        </w:rPr>
        <w:t>ong</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Xuan District, Ha </w:t>
      </w:r>
      <w:proofErr w:type="spellStart"/>
      <w:r>
        <w:rPr>
          <w:rFonts w:ascii="Arial" w:hAnsi="Arial" w:cs="Arial"/>
          <w:sz w:val="20"/>
          <w:szCs w:val="20"/>
        </w:rPr>
        <w:t>Noi</w:t>
      </w:r>
      <w:proofErr w:type="spellEnd"/>
    </w:p>
    <w:p w:rsidR="000A39AA" w:rsidRDefault="00171CCD" w:rsidP="00443BB6">
      <w:pPr>
        <w:spacing w:line="360" w:lineRule="auto"/>
        <w:jc w:val="both"/>
        <w:rPr>
          <w:rFonts w:ascii="Arial" w:hAnsi="Arial" w:cs="Arial"/>
          <w:sz w:val="20"/>
          <w:szCs w:val="20"/>
        </w:rPr>
      </w:pPr>
      <w:r w:rsidRPr="00171CCD">
        <w:rPr>
          <w:rFonts w:ascii="Arial" w:hAnsi="Arial" w:cs="Arial"/>
          <w:sz w:val="20"/>
          <w:szCs w:val="20"/>
        </w:rPr>
        <w:t xml:space="preserve">2) </w:t>
      </w:r>
      <w:proofErr w:type="spellStart"/>
      <w:r>
        <w:rPr>
          <w:rFonts w:ascii="Arial" w:hAnsi="Arial" w:cs="Arial"/>
          <w:sz w:val="20"/>
          <w:szCs w:val="20"/>
        </w:rPr>
        <w:t>Vietland</w:t>
      </w:r>
      <w:proofErr w:type="spellEnd"/>
      <w:r w:rsidRPr="00171CCD">
        <w:rPr>
          <w:rFonts w:ascii="Arial" w:hAnsi="Arial" w:cs="Arial"/>
          <w:sz w:val="20"/>
          <w:szCs w:val="20"/>
        </w:rPr>
        <w:t xml:space="preserve"> </w:t>
      </w:r>
      <w:r w:rsidRPr="00171CCD">
        <w:rPr>
          <w:rFonts w:ascii="Arial" w:hAnsi="Arial" w:cs="Arial"/>
          <w:sz w:val="20"/>
          <w:szCs w:val="20"/>
        </w:rPr>
        <w:t xml:space="preserve">Auditing </w:t>
      </w:r>
      <w:r>
        <w:rPr>
          <w:rFonts w:ascii="Arial" w:hAnsi="Arial" w:cs="Arial"/>
          <w:sz w:val="20"/>
          <w:szCs w:val="20"/>
        </w:rPr>
        <w:t xml:space="preserve">and </w:t>
      </w:r>
      <w:r w:rsidRPr="00171CCD">
        <w:rPr>
          <w:rFonts w:ascii="Arial" w:hAnsi="Arial" w:cs="Arial"/>
          <w:sz w:val="20"/>
          <w:szCs w:val="20"/>
        </w:rPr>
        <w:t xml:space="preserve">Consulting </w:t>
      </w:r>
      <w:r w:rsidR="000A39AA">
        <w:rPr>
          <w:rFonts w:ascii="Arial" w:hAnsi="Arial" w:cs="Arial"/>
          <w:sz w:val="20"/>
          <w:szCs w:val="20"/>
        </w:rPr>
        <w:t xml:space="preserve">Co., Ltd – Ha </w:t>
      </w:r>
      <w:proofErr w:type="spellStart"/>
      <w:r w:rsidR="000A39AA">
        <w:rPr>
          <w:rFonts w:ascii="Arial" w:hAnsi="Arial" w:cs="Arial"/>
          <w:sz w:val="20"/>
          <w:szCs w:val="20"/>
        </w:rPr>
        <w:t>Noi</w:t>
      </w:r>
      <w:proofErr w:type="spellEnd"/>
      <w:r w:rsidRPr="00171CCD">
        <w:rPr>
          <w:rFonts w:ascii="Arial" w:hAnsi="Arial" w:cs="Arial"/>
          <w:sz w:val="20"/>
          <w:szCs w:val="20"/>
        </w:rPr>
        <w:t xml:space="preserve"> Branch </w:t>
      </w:r>
    </w:p>
    <w:p w:rsidR="000A39AA" w:rsidRDefault="00171CCD" w:rsidP="00443BB6">
      <w:pPr>
        <w:spacing w:line="360" w:lineRule="auto"/>
        <w:jc w:val="both"/>
        <w:rPr>
          <w:rFonts w:ascii="Arial" w:hAnsi="Arial" w:cs="Arial"/>
          <w:sz w:val="20"/>
          <w:szCs w:val="20"/>
        </w:rPr>
      </w:pPr>
      <w:r w:rsidRPr="00171CCD">
        <w:rPr>
          <w:rFonts w:ascii="Arial" w:hAnsi="Arial" w:cs="Arial"/>
          <w:sz w:val="20"/>
          <w:szCs w:val="20"/>
        </w:rPr>
        <w:t xml:space="preserve">Address: </w:t>
      </w:r>
      <w:r w:rsidR="000A39AA">
        <w:rPr>
          <w:rFonts w:ascii="Arial" w:hAnsi="Arial" w:cs="Arial"/>
          <w:sz w:val="20"/>
          <w:szCs w:val="20"/>
        </w:rPr>
        <w:t xml:space="preserve">No.9C, Lane 28, Alley 389/70 Tran Thai Tong Street, Dich </w:t>
      </w:r>
      <w:proofErr w:type="spellStart"/>
      <w:r w:rsidR="000A39AA">
        <w:rPr>
          <w:rFonts w:ascii="Arial" w:hAnsi="Arial" w:cs="Arial"/>
          <w:sz w:val="20"/>
          <w:szCs w:val="20"/>
        </w:rPr>
        <w:t>Vong</w:t>
      </w:r>
      <w:proofErr w:type="spellEnd"/>
      <w:r w:rsidR="000A39AA">
        <w:rPr>
          <w:rFonts w:ascii="Arial" w:hAnsi="Arial" w:cs="Arial"/>
          <w:sz w:val="20"/>
          <w:szCs w:val="20"/>
        </w:rPr>
        <w:t xml:space="preserve"> </w:t>
      </w:r>
      <w:proofErr w:type="spellStart"/>
      <w:r w:rsidR="000A39AA">
        <w:rPr>
          <w:rFonts w:ascii="Arial" w:hAnsi="Arial" w:cs="Arial"/>
          <w:sz w:val="20"/>
          <w:szCs w:val="20"/>
        </w:rPr>
        <w:t>Hau</w:t>
      </w:r>
      <w:proofErr w:type="spellEnd"/>
      <w:r w:rsidR="000A39AA">
        <w:rPr>
          <w:rFonts w:ascii="Arial" w:hAnsi="Arial" w:cs="Arial"/>
          <w:sz w:val="20"/>
          <w:szCs w:val="20"/>
        </w:rPr>
        <w:t xml:space="preserve"> Ward, </w:t>
      </w:r>
      <w:proofErr w:type="spellStart"/>
      <w:r w:rsidR="000A39AA">
        <w:rPr>
          <w:rFonts w:ascii="Arial" w:hAnsi="Arial" w:cs="Arial"/>
          <w:sz w:val="20"/>
          <w:szCs w:val="20"/>
        </w:rPr>
        <w:t>Cau</w:t>
      </w:r>
      <w:proofErr w:type="spellEnd"/>
      <w:r w:rsidR="000A39AA">
        <w:rPr>
          <w:rFonts w:ascii="Arial" w:hAnsi="Arial" w:cs="Arial"/>
          <w:sz w:val="20"/>
          <w:szCs w:val="20"/>
        </w:rPr>
        <w:t xml:space="preserve"> </w:t>
      </w:r>
      <w:proofErr w:type="spellStart"/>
      <w:r w:rsidR="000A39AA">
        <w:rPr>
          <w:rFonts w:ascii="Arial" w:hAnsi="Arial" w:cs="Arial"/>
          <w:sz w:val="20"/>
          <w:szCs w:val="20"/>
        </w:rPr>
        <w:t>Giay</w:t>
      </w:r>
      <w:proofErr w:type="spellEnd"/>
      <w:r w:rsidR="000A39AA">
        <w:rPr>
          <w:rFonts w:ascii="Arial" w:hAnsi="Arial" w:cs="Arial"/>
          <w:sz w:val="20"/>
          <w:szCs w:val="20"/>
        </w:rPr>
        <w:t xml:space="preserve"> District, Ha </w:t>
      </w:r>
      <w:proofErr w:type="spellStart"/>
      <w:r w:rsidR="000A39AA">
        <w:rPr>
          <w:rFonts w:ascii="Arial" w:hAnsi="Arial" w:cs="Arial"/>
          <w:sz w:val="20"/>
          <w:szCs w:val="20"/>
        </w:rPr>
        <w:t>Noi</w:t>
      </w:r>
      <w:proofErr w:type="spellEnd"/>
    </w:p>
    <w:p w:rsidR="000A39AA" w:rsidRDefault="000A39AA" w:rsidP="00443BB6">
      <w:pPr>
        <w:spacing w:line="360" w:lineRule="auto"/>
        <w:jc w:val="both"/>
        <w:rPr>
          <w:rFonts w:ascii="Arial" w:hAnsi="Arial" w:cs="Arial"/>
          <w:sz w:val="20"/>
          <w:szCs w:val="20"/>
        </w:rPr>
      </w:pPr>
      <w:r>
        <w:rPr>
          <w:rFonts w:ascii="Arial" w:hAnsi="Arial" w:cs="Arial"/>
          <w:sz w:val="20"/>
          <w:szCs w:val="20"/>
        </w:rPr>
        <w:t>T</w:t>
      </w:r>
      <w:r w:rsidR="00171CCD" w:rsidRPr="00171CCD">
        <w:rPr>
          <w:rFonts w:ascii="Arial" w:hAnsi="Arial" w:cs="Arial"/>
          <w:sz w:val="20"/>
          <w:szCs w:val="20"/>
        </w:rPr>
        <w:t xml:space="preserve">he </w:t>
      </w:r>
      <w:r>
        <w:rPr>
          <w:rFonts w:ascii="Arial" w:hAnsi="Arial" w:cs="Arial"/>
          <w:sz w:val="20"/>
          <w:szCs w:val="20"/>
        </w:rPr>
        <w:t>annual General Meeting of Shareholders authorized</w:t>
      </w:r>
      <w:r w:rsidR="00171CCD" w:rsidRPr="00171CCD">
        <w:rPr>
          <w:rFonts w:ascii="Arial" w:hAnsi="Arial" w:cs="Arial"/>
          <w:sz w:val="20"/>
          <w:szCs w:val="20"/>
        </w:rPr>
        <w:t xml:space="preserve"> the Board of Directors to select 1 of the 2 above-mentioned auditing companies t</w:t>
      </w:r>
      <w:r>
        <w:rPr>
          <w:rFonts w:ascii="Arial" w:hAnsi="Arial" w:cs="Arial"/>
          <w:sz w:val="20"/>
          <w:szCs w:val="20"/>
        </w:rPr>
        <w:t>o audit the financial statement of</w:t>
      </w:r>
      <w:r w:rsidR="00171CCD" w:rsidRPr="00171CCD">
        <w:rPr>
          <w:rFonts w:ascii="Arial" w:hAnsi="Arial" w:cs="Arial"/>
          <w:sz w:val="20"/>
          <w:szCs w:val="20"/>
        </w:rPr>
        <w:t xml:space="preserve"> the fiscal year </w:t>
      </w:r>
      <w:r>
        <w:rPr>
          <w:rFonts w:ascii="Arial" w:hAnsi="Arial" w:cs="Arial"/>
          <w:sz w:val="20"/>
          <w:szCs w:val="20"/>
        </w:rPr>
        <w:t xml:space="preserve">of </w:t>
      </w:r>
      <w:r w:rsidR="00171CCD" w:rsidRPr="00171CCD">
        <w:rPr>
          <w:rFonts w:ascii="Arial" w:hAnsi="Arial" w:cs="Arial"/>
          <w:sz w:val="20"/>
          <w:szCs w:val="20"/>
        </w:rPr>
        <w:t>20</w:t>
      </w:r>
      <w:r>
        <w:rPr>
          <w:rFonts w:ascii="Arial" w:hAnsi="Arial" w:cs="Arial"/>
          <w:sz w:val="20"/>
          <w:szCs w:val="20"/>
        </w:rPr>
        <w:t>20</w:t>
      </w:r>
    </w:p>
    <w:p w:rsidR="000A39AA" w:rsidRDefault="000A39AA" w:rsidP="00443BB6">
      <w:pPr>
        <w:spacing w:line="360" w:lineRule="auto"/>
        <w:jc w:val="both"/>
        <w:rPr>
          <w:rFonts w:ascii="Arial" w:hAnsi="Arial" w:cs="Arial"/>
          <w:sz w:val="20"/>
          <w:szCs w:val="20"/>
        </w:rPr>
      </w:pPr>
      <w:r>
        <w:rPr>
          <w:rFonts w:ascii="Arial" w:hAnsi="Arial" w:cs="Arial"/>
          <w:sz w:val="20"/>
          <w:szCs w:val="20"/>
        </w:rPr>
        <w:t>Article 11:</w:t>
      </w:r>
      <w:r w:rsidR="00171CCD" w:rsidRPr="00171CCD">
        <w:rPr>
          <w:rFonts w:ascii="Arial" w:hAnsi="Arial" w:cs="Arial"/>
          <w:sz w:val="20"/>
          <w:szCs w:val="20"/>
        </w:rPr>
        <w:t xml:space="preserve"> Effect of </w:t>
      </w:r>
      <w:r>
        <w:rPr>
          <w:rFonts w:ascii="Arial" w:hAnsi="Arial" w:cs="Arial"/>
          <w:sz w:val="20"/>
          <w:szCs w:val="20"/>
        </w:rPr>
        <w:t xml:space="preserve">the annual General Mandate </w:t>
      </w:r>
    </w:p>
    <w:p w:rsidR="000A39AA" w:rsidRDefault="000A39AA" w:rsidP="00443BB6">
      <w:pPr>
        <w:spacing w:line="360" w:lineRule="auto"/>
        <w:jc w:val="both"/>
        <w:rPr>
          <w:rFonts w:ascii="Arial" w:hAnsi="Arial" w:cs="Arial"/>
          <w:sz w:val="20"/>
          <w:szCs w:val="20"/>
        </w:rPr>
      </w:pPr>
      <w:r>
        <w:rPr>
          <w:rFonts w:ascii="Arial" w:hAnsi="Arial" w:cs="Arial"/>
          <w:sz w:val="20"/>
          <w:szCs w:val="20"/>
        </w:rPr>
        <w:t xml:space="preserve">The annual General Mandate was </w:t>
      </w:r>
      <w:r w:rsidR="00171CCD" w:rsidRPr="00171CCD">
        <w:rPr>
          <w:rFonts w:ascii="Arial" w:hAnsi="Arial" w:cs="Arial"/>
          <w:sz w:val="20"/>
          <w:szCs w:val="20"/>
        </w:rPr>
        <w:t xml:space="preserve">approved with the approval ratio of 100% of the total voting shares </w:t>
      </w:r>
      <w:r>
        <w:rPr>
          <w:rFonts w:ascii="Arial" w:hAnsi="Arial" w:cs="Arial"/>
          <w:sz w:val="20"/>
          <w:szCs w:val="20"/>
        </w:rPr>
        <w:t>at the M</w:t>
      </w:r>
      <w:r w:rsidR="00171CCD" w:rsidRPr="00171CCD">
        <w:rPr>
          <w:rFonts w:ascii="Arial" w:hAnsi="Arial" w:cs="Arial"/>
          <w:sz w:val="20"/>
          <w:szCs w:val="20"/>
        </w:rPr>
        <w:t>e</w:t>
      </w:r>
      <w:r>
        <w:rPr>
          <w:rFonts w:ascii="Arial" w:hAnsi="Arial" w:cs="Arial"/>
          <w:sz w:val="20"/>
          <w:szCs w:val="20"/>
        </w:rPr>
        <w:t>eting and effective immediately</w:t>
      </w:r>
    </w:p>
    <w:p w:rsidR="00171CCD" w:rsidRPr="00443BB6" w:rsidRDefault="000A39AA" w:rsidP="00443BB6">
      <w:pPr>
        <w:spacing w:line="360" w:lineRule="auto"/>
        <w:jc w:val="both"/>
        <w:rPr>
          <w:rFonts w:ascii="Arial" w:hAnsi="Arial" w:cs="Arial"/>
          <w:sz w:val="20"/>
          <w:szCs w:val="20"/>
        </w:rPr>
      </w:pPr>
      <w:r>
        <w:rPr>
          <w:rFonts w:ascii="Arial" w:hAnsi="Arial" w:cs="Arial"/>
          <w:sz w:val="20"/>
          <w:szCs w:val="20"/>
        </w:rPr>
        <w:lastRenderedPageBreak/>
        <w:t>This annual General Mandate</w:t>
      </w:r>
      <w:r w:rsidR="00171CCD" w:rsidRPr="00171CCD">
        <w:rPr>
          <w:rFonts w:ascii="Arial" w:hAnsi="Arial" w:cs="Arial"/>
          <w:sz w:val="20"/>
          <w:szCs w:val="20"/>
        </w:rPr>
        <w:t xml:space="preserve"> consists of 05 pages, created at 11:30 on May 22, 2020.  </w:t>
      </w:r>
      <w:r>
        <w:rPr>
          <w:rFonts w:ascii="Arial" w:hAnsi="Arial" w:cs="Arial"/>
          <w:sz w:val="20"/>
          <w:szCs w:val="20"/>
        </w:rPr>
        <w:t>Members</w:t>
      </w:r>
      <w:r w:rsidR="00171CCD" w:rsidRPr="00171CCD">
        <w:rPr>
          <w:rFonts w:ascii="Arial" w:hAnsi="Arial" w:cs="Arial"/>
          <w:sz w:val="20"/>
          <w:szCs w:val="20"/>
        </w:rPr>
        <w:t xml:space="preserve"> of the Board of Directors, the Supervisory Board and the shareholders of the Corporation are responsible for implementing </w:t>
      </w:r>
      <w:r>
        <w:rPr>
          <w:rFonts w:ascii="Arial" w:hAnsi="Arial" w:cs="Arial"/>
          <w:sz w:val="20"/>
          <w:szCs w:val="20"/>
        </w:rPr>
        <w:t>it</w:t>
      </w:r>
      <w:r w:rsidR="00171CCD" w:rsidRPr="00171CCD">
        <w:rPr>
          <w:rFonts w:ascii="Arial" w:hAnsi="Arial" w:cs="Arial"/>
          <w:sz w:val="20"/>
          <w:szCs w:val="20"/>
        </w:rPr>
        <w:t xml:space="preserve">. The Board of Directors, the </w:t>
      </w:r>
      <w:r>
        <w:rPr>
          <w:rFonts w:ascii="Arial" w:hAnsi="Arial" w:cs="Arial"/>
          <w:sz w:val="20"/>
          <w:szCs w:val="20"/>
        </w:rPr>
        <w:t>Management Board</w:t>
      </w:r>
      <w:r w:rsidR="00171CCD" w:rsidRPr="00171CCD">
        <w:rPr>
          <w:rFonts w:ascii="Arial" w:hAnsi="Arial" w:cs="Arial"/>
          <w:sz w:val="20"/>
          <w:szCs w:val="20"/>
        </w:rPr>
        <w:t xml:space="preserve"> and the Supervisory Board were assigned to implement in accordance with the Charter of </w:t>
      </w:r>
      <w:proofErr w:type="spellStart"/>
      <w:r w:rsidRPr="000A39AA">
        <w:rPr>
          <w:rFonts w:ascii="Arial" w:hAnsi="Arial" w:cs="Arial"/>
          <w:sz w:val="20"/>
          <w:szCs w:val="20"/>
        </w:rPr>
        <w:t>PetroVietnam</w:t>
      </w:r>
      <w:proofErr w:type="spellEnd"/>
      <w:r w:rsidRPr="000A39AA">
        <w:rPr>
          <w:rFonts w:ascii="Arial" w:hAnsi="Arial" w:cs="Arial"/>
          <w:sz w:val="20"/>
          <w:szCs w:val="20"/>
        </w:rPr>
        <w:t xml:space="preserve"> </w:t>
      </w:r>
      <w:proofErr w:type="spellStart"/>
      <w:r w:rsidRPr="000A39AA">
        <w:rPr>
          <w:rFonts w:ascii="Arial" w:hAnsi="Arial" w:cs="Arial"/>
          <w:sz w:val="20"/>
          <w:szCs w:val="20"/>
        </w:rPr>
        <w:t>Nghe</w:t>
      </w:r>
      <w:proofErr w:type="spellEnd"/>
      <w:r w:rsidRPr="000A39AA">
        <w:rPr>
          <w:rFonts w:ascii="Arial" w:hAnsi="Arial" w:cs="Arial"/>
          <w:sz w:val="20"/>
          <w:szCs w:val="20"/>
        </w:rPr>
        <w:t xml:space="preserve"> An Construction JSC</w:t>
      </w:r>
      <w:bookmarkStart w:id="0" w:name="_GoBack"/>
      <w:bookmarkEnd w:id="0"/>
    </w:p>
    <w:sectPr w:rsidR="00171CCD" w:rsidRPr="0044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310"/>
    <w:multiLevelType w:val="hybridMultilevel"/>
    <w:tmpl w:val="894A7CD6"/>
    <w:lvl w:ilvl="0" w:tplc="DFC4E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1DF8"/>
    <w:rsid w:val="00007B2E"/>
    <w:rsid w:val="00022849"/>
    <w:rsid w:val="000266C2"/>
    <w:rsid w:val="000365C1"/>
    <w:rsid w:val="00050E3D"/>
    <w:rsid w:val="000603A9"/>
    <w:rsid w:val="00066452"/>
    <w:rsid w:val="00066EE1"/>
    <w:rsid w:val="00075754"/>
    <w:rsid w:val="00085D47"/>
    <w:rsid w:val="000A0B74"/>
    <w:rsid w:val="000A39AA"/>
    <w:rsid w:val="000A58A2"/>
    <w:rsid w:val="000A6020"/>
    <w:rsid w:val="000B6969"/>
    <w:rsid w:val="000C4127"/>
    <w:rsid w:val="000D0CFB"/>
    <w:rsid w:val="000D20D4"/>
    <w:rsid w:val="000D25FC"/>
    <w:rsid w:val="000E4CD5"/>
    <w:rsid w:val="000E518E"/>
    <w:rsid w:val="000E71F4"/>
    <w:rsid w:val="000F76F2"/>
    <w:rsid w:val="001110AA"/>
    <w:rsid w:val="00114F74"/>
    <w:rsid w:val="00132EC5"/>
    <w:rsid w:val="00132FA0"/>
    <w:rsid w:val="00135A2F"/>
    <w:rsid w:val="00136CAF"/>
    <w:rsid w:val="00146DCF"/>
    <w:rsid w:val="00151208"/>
    <w:rsid w:val="00155048"/>
    <w:rsid w:val="001579A8"/>
    <w:rsid w:val="00161658"/>
    <w:rsid w:val="0016411D"/>
    <w:rsid w:val="00167E2F"/>
    <w:rsid w:val="00171CCD"/>
    <w:rsid w:val="00185E8C"/>
    <w:rsid w:val="00191F14"/>
    <w:rsid w:val="001937B4"/>
    <w:rsid w:val="00194B6D"/>
    <w:rsid w:val="001C7CD2"/>
    <w:rsid w:val="001D5E4A"/>
    <w:rsid w:val="001E4B88"/>
    <w:rsid w:val="001E707C"/>
    <w:rsid w:val="001F0E1D"/>
    <w:rsid w:val="001F34A1"/>
    <w:rsid w:val="001F6744"/>
    <w:rsid w:val="001F7F19"/>
    <w:rsid w:val="00202525"/>
    <w:rsid w:val="00203661"/>
    <w:rsid w:val="00207AF4"/>
    <w:rsid w:val="002164D2"/>
    <w:rsid w:val="0022433A"/>
    <w:rsid w:val="00230BF1"/>
    <w:rsid w:val="002319EE"/>
    <w:rsid w:val="0025148F"/>
    <w:rsid w:val="00252CE0"/>
    <w:rsid w:val="00254EA2"/>
    <w:rsid w:val="0026535B"/>
    <w:rsid w:val="002701FB"/>
    <w:rsid w:val="0028284F"/>
    <w:rsid w:val="0029161A"/>
    <w:rsid w:val="00296BF9"/>
    <w:rsid w:val="002A3D5D"/>
    <w:rsid w:val="002A5A98"/>
    <w:rsid w:val="002B42CC"/>
    <w:rsid w:val="002C36A5"/>
    <w:rsid w:val="002D481A"/>
    <w:rsid w:val="002D4939"/>
    <w:rsid w:val="002D53EE"/>
    <w:rsid w:val="002E4006"/>
    <w:rsid w:val="002E43D7"/>
    <w:rsid w:val="002E76E5"/>
    <w:rsid w:val="002E7FD0"/>
    <w:rsid w:val="002F68A9"/>
    <w:rsid w:val="00304722"/>
    <w:rsid w:val="0030503E"/>
    <w:rsid w:val="0031274D"/>
    <w:rsid w:val="00320096"/>
    <w:rsid w:val="0032185B"/>
    <w:rsid w:val="00327CF7"/>
    <w:rsid w:val="00336B31"/>
    <w:rsid w:val="0033774A"/>
    <w:rsid w:val="00341F2F"/>
    <w:rsid w:val="00353428"/>
    <w:rsid w:val="0037607E"/>
    <w:rsid w:val="00377A53"/>
    <w:rsid w:val="00387318"/>
    <w:rsid w:val="00394778"/>
    <w:rsid w:val="00397004"/>
    <w:rsid w:val="003A0ECB"/>
    <w:rsid w:val="003A5CE9"/>
    <w:rsid w:val="003B73F7"/>
    <w:rsid w:val="003B7790"/>
    <w:rsid w:val="003C1805"/>
    <w:rsid w:val="003C4606"/>
    <w:rsid w:val="003C7694"/>
    <w:rsid w:val="003D18D5"/>
    <w:rsid w:val="003E60D6"/>
    <w:rsid w:val="003E73CA"/>
    <w:rsid w:val="00403A9C"/>
    <w:rsid w:val="004115D9"/>
    <w:rsid w:val="00411E47"/>
    <w:rsid w:val="00420169"/>
    <w:rsid w:val="0042783A"/>
    <w:rsid w:val="0043345C"/>
    <w:rsid w:val="00434040"/>
    <w:rsid w:val="00435CE3"/>
    <w:rsid w:val="00442646"/>
    <w:rsid w:val="00442F77"/>
    <w:rsid w:val="00443BB6"/>
    <w:rsid w:val="0044702D"/>
    <w:rsid w:val="004530A7"/>
    <w:rsid w:val="00453C9C"/>
    <w:rsid w:val="00456307"/>
    <w:rsid w:val="00467BC0"/>
    <w:rsid w:val="0047038B"/>
    <w:rsid w:val="00490B2B"/>
    <w:rsid w:val="00496733"/>
    <w:rsid w:val="004A554D"/>
    <w:rsid w:val="004B2BA6"/>
    <w:rsid w:val="004B4798"/>
    <w:rsid w:val="004C144F"/>
    <w:rsid w:val="004E4C16"/>
    <w:rsid w:val="004E73CA"/>
    <w:rsid w:val="00503DD6"/>
    <w:rsid w:val="00505065"/>
    <w:rsid w:val="0052379D"/>
    <w:rsid w:val="0055067A"/>
    <w:rsid w:val="00551A83"/>
    <w:rsid w:val="005610CB"/>
    <w:rsid w:val="00576A91"/>
    <w:rsid w:val="00584222"/>
    <w:rsid w:val="0058434E"/>
    <w:rsid w:val="00585B82"/>
    <w:rsid w:val="005906FC"/>
    <w:rsid w:val="005970B6"/>
    <w:rsid w:val="005B1FDE"/>
    <w:rsid w:val="005B40E5"/>
    <w:rsid w:val="005C57E0"/>
    <w:rsid w:val="005D3B3C"/>
    <w:rsid w:val="005D7F9C"/>
    <w:rsid w:val="005E7B32"/>
    <w:rsid w:val="005F7ED5"/>
    <w:rsid w:val="006000D8"/>
    <w:rsid w:val="00611271"/>
    <w:rsid w:val="0063035E"/>
    <w:rsid w:val="0063581B"/>
    <w:rsid w:val="006374A1"/>
    <w:rsid w:val="00641E78"/>
    <w:rsid w:val="00653D82"/>
    <w:rsid w:val="00662E88"/>
    <w:rsid w:val="00664834"/>
    <w:rsid w:val="00677CB8"/>
    <w:rsid w:val="006938BF"/>
    <w:rsid w:val="006948E2"/>
    <w:rsid w:val="00694B5D"/>
    <w:rsid w:val="00695ACD"/>
    <w:rsid w:val="006A7679"/>
    <w:rsid w:val="006B04E8"/>
    <w:rsid w:val="006B10DB"/>
    <w:rsid w:val="006B36E8"/>
    <w:rsid w:val="006D01D8"/>
    <w:rsid w:val="006D683C"/>
    <w:rsid w:val="006E15A6"/>
    <w:rsid w:val="006E23FD"/>
    <w:rsid w:val="006E5E99"/>
    <w:rsid w:val="00703A99"/>
    <w:rsid w:val="007076A6"/>
    <w:rsid w:val="00710F35"/>
    <w:rsid w:val="007218D0"/>
    <w:rsid w:val="007228FB"/>
    <w:rsid w:val="00732DC3"/>
    <w:rsid w:val="007332B1"/>
    <w:rsid w:val="007336C9"/>
    <w:rsid w:val="0073373F"/>
    <w:rsid w:val="00744587"/>
    <w:rsid w:val="00745D9A"/>
    <w:rsid w:val="00747AF7"/>
    <w:rsid w:val="00750F3E"/>
    <w:rsid w:val="00757555"/>
    <w:rsid w:val="00764908"/>
    <w:rsid w:val="0077456B"/>
    <w:rsid w:val="00781EB4"/>
    <w:rsid w:val="00795480"/>
    <w:rsid w:val="007A072F"/>
    <w:rsid w:val="007A1FCC"/>
    <w:rsid w:val="007A3C3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37771"/>
    <w:rsid w:val="0084142F"/>
    <w:rsid w:val="0084485C"/>
    <w:rsid w:val="0084679A"/>
    <w:rsid w:val="00846A9E"/>
    <w:rsid w:val="008522D5"/>
    <w:rsid w:val="00853748"/>
    <w:rsid w:val="008544C2"/>
    <w:rsid w:val="008647D9"/>
    <w:rsid w:val="00882307"/>
    <w:rsid w:val="00884B9C"/>
    <w:rsid w:val="00887454"/>
    <w:rsid w:val="008961B3"/>
    <w:rsid w:val="008C0872"/>
    <w:rsid w:val="008C7A42"/>
    <w:rsid w:val="00912FBD"/>
    <w:rsid w:val="009232CB"/>
    <w:rsid w:val="00923467"/>
    <w:rsid w:val="00934FC0"/>
    <w:rsid w:val="00937D79"/>
    <w:rsid w:val="009410B8"/>
    <w:rsid w:val="009464B8"/>
    <w:rsid w:val="00962777"/>
    <w:rsid w:val="00964DEC"/>
    <w:rsid w:val="00980267"/>
    <w:rsid w:val="00981275"/>
    <w:rsid w:val="00981536"/>
    <w:rsid w:val="0099040A"/>
    <w:rsid w:val="009A6F47"/>
    <w:rsid w:val="009C28F2"/>
    <w:rsid w:val="009E1744"/>
    <w:rsid w:val="009E4AC5"/>
    <w:rsid w:val="009F2709"/>
    <w:rsid w:val="00A050AA"/>
    <w:rsid w:val="00A06443"/>
    <w:rsid w:val="00A06521"/>
    <w:rsid w:val="00A128FC"/>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B4ADE"/>
    <w:rsid w:val="00AC128D"/>
    <w:rsid w:val="00AC1F4A"/>
    <w:rsid w:val="00AC4F64"/>
    <w:rsid w:val="00AC6BEF"/>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7330"/>
    <w:rsid w:val="00B70D7E"/>
    <w:rsid w:val="00B7158A"/>
    <w:rsid w:val="00B7408A"/>
    <w:rsid w:val="00B9656C"/>
    <w:rsid w:val="00BA1F12"/>
    <w:rsid w:val="00BA2434"/>
    <w:rsid w:val="00BA2DBC"/>
    <w:rsid w:val="00BA3FB7"/>
    <w:rsid w:val="00BB149F"/>
    <w:rsid w:val="00BB2980"/>
    <w:rsid w:val="00BB7147"/>
    <w:rsid w:val="00BD3CCA"/>
    <w:rsid w:val="00BD6721"/>
    <w:rsid w:val="00BD6969"/>
    <w:rsid w:val="00BF0485"/>
    <w:rsid w:val="00C12EC1"/>
    <w:rsid w:val="00C220E2"/>
    <w:rsid w:val="00C2280B"/>
    <w:rsid w:val="00C26F1A"/>
    <w:rsid w:val="00C32F3A"/>
    <w:rsid w:val="00C33F82"/>
    <w:rsid w:val="00C357D3"/>
    <w:rsid w:val="00C36031"/>
    <w:rsid w:val="00C40291"/>
    <w:rsid w:val="00C57CB9"/>
    <w:rsid w:val="00C61EAF"/>
    <w:rsid w:val="00C940B5"/>
    <w:rsid w:val="00C97B83"/>
    <w:rsid w:val="00CA1BB3"/>
    <w:rsid w:val="00CB5C91"/>
    <w:rsid w:val="00CC39D3"/>
    <w:rsid w:val="00CD1C0C"/>
    <w:rsid w:val="00CD22F3"/>
    <w:rsid w:val="00CD696B"/>
    <w:rsid w:val="00CE40C1"/>
    <w:rsid w:val="00CF1764"/>
    <w:rsid w:val="00CF7CE6"/>
    <w:rsid w:val="00D02E12"/>
    <w:rsid w:val="00D322FB"/>
    <w:rsid w:val="00D370AF"/>
    <w:rsid w:val="00D415AC"/>
    <w:rsid w:val="00D42678"/>
    <w:rsid w:val="00D52C26"/>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D1205"/>
    <w:rsid w:val="00DD263A"/>
    <w:rsid w:val="00DE5C3C"/>
    <w:rsid w:val="00DF4180"/>
    <w:rsid w:val="00DF739B"/>
    <w:rsid w:val="00E130EE"/>
    <w:rsid w:val="00E13C77"/>
    <w:rsid w:val="00E146DA"/>
    <w:rsid w:val="00E17016"/>
    <w:rsid w:val="00E20A0F"/>
    <w:rsid w:val="00E24F0A"/>
    <w:rsid w:val="00E27923"/>
    <w:rsid w:val="00E47B26"/>
    <w:rsid w:val="00E51F4E"/>
    <w:rsid w:val="00E53A5C"/>
    <w:rsid w:val="00E5565D"/>
    <w:rsid w:val="00E65132"/>
    <w:rsid w:val="00E7691C"/>
    <w:rsid w:val="00E96289"/>
    <w:rsid w:val="00E96D65"/>
    <w:rsid w:val="00EA4C28"/>
    <w:rsid w:val="00EC36C7"/>
    <w:rsid w:val="00EC37DE"/>
    <w:rsid w:val="00ED3B40"/>
    <w:rsid w:val="00ED6D41"/>
    <w:rsid w:val="00EF091F"/>
    <w:rsid w:val="00EF47D6"/>
    <w:rsid w:val="00F268FB"/>
    <w:rsid w:val="00F272CE"/>
    <w:rsid w:val="00F320D6"/>
    <w:rsid w:val="00F33967"/>
    <w:rsid w:val="00F360CB"/>
    <w:rsid w:val="00F46D76"/>
    <w:rsid w:val="00F509DE"/>
    <w:rsid w:val="00F514ED"/>
    <w:rsid w:val="00F733D8"/>
    <w:rsid w:val="00F74558"/>
    <w:rsid w:val="00F77B4F"/>
    <w:rsid w:val="00F805BD"/>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12F7"/>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282</cp:revision>
  <dcterms:created xsi:type="dcterms:W3CDTF">2019-10-16T10:03:00Z</dcterms:created>
  <dcterms:modified xsi:type="dcterms:W3CDTF">2020-05-28T16:12:00Z</dcterms:modified>
</cp:coreProperties>
</file>